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20" w:rsidRDefault="00010420" w:rsidP="00010420">
      <w:pPr>
        <w:rPr>
          <w:sz w:val="20"/>
          <w:szCs w:val="20"/>
        </w:rPr>
      </w:pPr>
      <w:r>
        <w:rPr>
          <w:sz w:val="28"/>
          <w:szCs w:val="28"/>
        </w:rPr>
        <w:t xml:space="preserve">Name: __________________________________________ </w:t>
      </w:r>
      <w:r>
        <w:rPr>
          <w:sz w:val="20"/>
          <w:szCs w:val="20"/>
        </w:rPr>
        <w:t>(please print neatly)</w:t>
      </w:r>
    </w:p>
    <w:p w:rsidR="00010420" w:rsidRDefault="00010420" w:rsidP="00010420">
      <w:pPr>
        <w:rPr>
          <w:sz w:val="16"/>
          <w:szCs w:val="16"/>
        </w:rPr>
      </w:pPr>
    </w:p>
    <w:p w:rsidR="00010420" w:rsidRDefault="00147B2D" w:rsidP="00010420">
      <w:r>
        <w:t>1/28</w:t>
      </w:r>
      <w:r w:rsidR="00010420">
        <w:t>:</w:t>
      </w:r>
      <w:r w:rsidR="004C0592">
        <w:t xml:space="preserve">  </w:t>
      </w:r>
      <w:r w:rsidR="00E82442">
        <w:t xml:space="preserve">Structuring Arguments (Classic, Rogers, </w:t>
      </w:r>
      <w:proofErr w:type="spellStart"/>
      <w:r w:rsidR="00E82442">
        <w:t>Radner</w:t>
      </w:r>
      <w:proofErr w:type="spellEnd"/>
      <w:r w:rsidR="00E82442">
        <w:t>, Toulmin)</w:t>
      </w:r>
      <w:r>
        <w:t xml:space="preserve">; </w:t>
      </w:r>
      <w:r w:rsidR="00E82442">
        <w:t xml:space="preserve">video lecture “Supporting an Argument;” </w:t>
      </w:r>
      <w:proofErr w:type="spellStart"/>
      <w:r>
        <w:t>ppt</w:t>
      </w:r>
      <w:proofErr w:type="spellEnd"/>
      <w:r>
        <w:t xml:space="preserve"> review; intro to synthesis task.</w:t>
      </w:r>
    </w:p>
    <w:p w:rsidR="00010420" w:rsidRDefault="00147B2D" w:rsidP="00010420">
      <w:r>
        <w:t>2/4</w:t>
      </w:r>
      <w:r w:rsidR="00010420">
        <w:t xml:space="preserve">: </w:t>
      </w:r>
      <w:r w:rsidR="004C0592">
        <w:t xml:space="preserve">   </w:t>
      </w:r>
      <w:r w:rsidR="00010420">
        <w:t>Discuss “Readings for Writers” selections: Styles, Thinking, and English 101</w:t>
      </w:r>
    </w:p>
    <w:p w:rsidR="00010420" w:rsidRDefault="00147B2D" w:rsidP="00010420">
      <w:r>
        <w:t>2/11</w:t>
      </w:r>
      <w:r w:rsidR="00010420">
        <w:t xml:space="preserve">: </w:t>
      </w:r>
      <w:r w:rsidR="004C0592">
        <w:t xml:space="preserve"> </w:t>
      </w:r>
      <w:r w:rsidR="00E82442">
        <w:t xml:space="preserve">Video lecture “Danger of Danglers” and worksheet; </w:t>
      </w:r>
      <w:r w:rsidR="00010420">
        <w:t>collaborative test prep</w:t>
      </w:r>
    </w:p>
    <w:p w:rsidR="00010420" w:rsidRDefault="00147B2D" w:rsidP="00010420">
      <w:r>
        <w:t>2/18</w:t>
      </w:r>
      <w:r w:rsidR="00010420">
        <w:t xml:space="preserve">: </w:t>
      </w:r>
      <w:r w:rsidR="004C0592">
        <w:t xml:space="preserve"> </w:t>
      </w:r>
      <w:r w:rsidR="00010420">
        <w:t>Practice AP exam</w:t>
      </w:r>
    </w:p>
    <w:p w:rsidR="00010420" w:rsidRPr="00731909" w:rsidRDefault="00010420" w:rsidP="0001042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350"/>
        <w:gridCol w:w="7830"/>
      </w:tblGrid>
      <w:tr w:rsidR="00010420" w:rsidTr="005C3163">
        <w:tc>
          <w:tcPr>
            <w:tcW w:w="720" w:type="dxa"/>
          </w:tcPr>
          <w:p w:rsidR="00010420" w:rsidRPr="00815209" w:rsidRDefault="00010420" w:rsidP="00CA41DA">
            <w:pPr>
              <w:rPr>
                <w:sz w:val="20"/>
                <w:szCs w:val="20"/>
              </w:rPr>
            </w:pPr>
            <w:r w:rsidRPr="00815209">
              <w:rPr>
                <w:sz w:val="20"/>
                <w:szCs w:val="20"/>
              </w:rPr>
              <w:t xml:space="preserve">Points </w:t>
            </w:r>
          </w:p>
        </w:tc>
        <w:tc>
          <w:tcPr>
            <w:tcW w:w="1350" w:type="dxa"/>
          </w:tcPr>
          <w:p w:rsidR="0045060B" w:rsidRPr="00D34419" w:rsidRDefault="004F676E" w:rsidP="00CA41DA">
            <w:r>
              <w:t>Pages &amp; t</w:t>
            </w:r>
            <w:r w:rsidR="0045060B">
              <w:t xml:space="preserve">asks </w:t>
            </w:r>
          </w:p>
        </w:tc>
        <w:tc>
          <w:tcPr>
            <w:tcW w:w="7830" w:type="dxa"/>
          </w:tcPr>
          <w:p w:rsidR="00010420" w:rsidRPr="00D34419" w:rsidRDefault="00010420" w:rsidP="00CD46FD">
            <w:r w:rsidRPr="00D34419">
              <w:t xml:space="preserve">Assignment: </w:t>
            </w:r>
            <w:r w:rsidR="00CD46FD">
              <w:t>Developing the Synthesis Essay</w:t>
            </w:r>
          </w:p>
        </w:tc>
      </w:tr>
      <w:tr w:rsidR="00E82442" w:rsidTr="005C3163">
        <w:tc>
          <w:tcPr>
            <w:tcW w:w="720" w:type="dxa"/>
          </w:tcPr>
          <w:p w:rsidR="00E82442" w:rsidRPr="00815209" w:rsidRDefault="00E82442" w:rsidP="00CA41DA">
            <w:pPr>
              <w:rPr>
                <w:sz w:val="20"/>
                <w:szCs w:val="20"/>
              </w:rPr>
            </w:pPr>
          </w:p>
        </w:tc>
        <w:tc>
          <w:tcPr>
            <w:tcW w:w="1350" w:type="dxa"/>
          </w:tcPr>
          <w:p w:rsidR="00E82442" w:rsidRDefault="00E82442" w:rsidP="00CA41DA">
            <w:r>
              <w:t>Lecture Notes</w:t>
            </w:r>
          </w:p>
          <w:p w:rsidR="0045060B" w:rsidRPr="00D34419" w:rsidRDefault="0045060B" w:rsidP="00CA41DA">
            <w:r w:rsidRPr="0045060B">
              <w:rPr>
                <w:b/>
              </w:rPr>
              <w:t>20</w:t>
            </w:r>
            <w:r>
              <w:t xml:space="preserve"> points</w:t>
            </w:r>
          </w:p>
        </w:tc>
        <w:tc>
          <w:tcPr>
            <w:tcW w:w="7830" w:type="dxa"/>
          </w:tcPr>
          <w:p w:rsidR="00E82442" w:rsidRPr="00D34419" w:rsidRDefault="00E82442" w:rsidP="00147B2D">
            <w:r>
              <w:t xml:space="preserve">This month, we focus on building an argument </w:t>
            </w:r>
            <w:r w:rsidR="00147B2D">
              <w:t>using multiple sources (you will have 6 on the AP exam).</w:t>
            </w:r>
            <w:r>
              <w:t xml:space="preserve"> Complete the video lecture notes (attached) that we’ll view on 1/29.</w:t>
            </w:r>
          </w:p>
        </w:tc>
      </w:tr>
      <w:tr w:rsidR="005C3163" w:rsidTr="005C3163">
        <w:tc>
          <w:tcPr>
            <w:tcW w:w="720" w:type="dxa"/>
          </w:tcPr>
          <w:p w:rsidR="005C3163" w:rsidRPr="002C786A" w:rsidRDefault="005C3163" w:rsidP="00CD46FD">
            <w:pPr>
              <w:jc w:val="center"/>
              <w:rPr>
                <w:sz w:val="16"/>
                <w:szCs w:val="16"/>
              </w:rPr>
            </w:pPr>
          </w:p>
        </w:tc>
        <w:tc>
          <w:tcPr>
            <w:tcW w:w="1350" w:type="dxa"/>
          </w:tcPr>
          <w:p w:rsidR="005C3163" w:rsidRPr="002517FB" w:rsidRDefault="005C3163" w:rsidP="00CD46FD">
            <w:pPr>
              <w:rPr>
                <w:u w:val="single"/>
              </w:rPr>
            </w:pPr>
            <w:r>
              <w:rPr>
                <w:u w:val="single"/>
              </w:rPr>
              <w:t>Everything is an Argument</w:t>
            </w:r>
          </w:p>
          <w:p w:rsidR="005C3163" w:rsidRDefault="005C3163" w:rsidP="00CD46FD"/>
          <w:p w:rsidR="005C3163" w:rsidRDefault="005C3163" w:rsidP="00CD46FD"/>
          <w:p w:rsidR="005C3163" w:rsidRPr="00D34419" w:rsidRDefault="005C3163" w:rsidP="00CD46FD">
            <w:r>
              <w:rPr>
                <w:b/>
              </w:rPr>
              <w:t xml:space="preserve">15 </w:t>
            </w:r>
            <w:r>
              <w:t>points</w:t>
            </w:r>
          </w:p>
        </w:tc>
        <w:tc>
          <w:tcPr>
            <w:tcW w:w="7830" w:type="dxa"/>
          </w:tcPr>
          <w:p w:rsidR="005C3163" w:rsidRDefault="005C3163" w:rsidP="00CD46FD">
            <w:pPr>
              <w:pStyle w:val="NoSpacing"/>
              <w:rPr>
                <w:rFonts w:ascii="Times New Roman" w:hAnsi="Times New Roman"/>
                <w:sz w:val="24"/>
                <w:szCs w:val="24"/>
              </w:rPr>
            </w:pPr>
            <w:r>
              <w:rPr>
                <w:rFonts w:ascii="Times New Roman" w:hAnsi="Times New Roman"/>
                <w:sz w:val="24"/>
                <w:szCs w:val="24"/>
              </w:rPr>
              <w:t xml:space="preserve">Read   “Structuring Arguments” (pgs. 170-200) </w:t>
            </w:r>
          </w:p>
          <w:p w:rsidR="005C3163" w:rsidRPr="000D5E77" w:rsidRDefault="005C3163" w:rsidP="00CD46FD">
            <w:pPr>
              <w:pStyle w:val="NoSpacing"/>
              <w:ind w:left="720" w:hanging="720"/>
              <w:rPr>
                <w:rFonts w:ascii="Times New Roman" w:hAnsi="Times New Roman"/>
                <w:sz w:val="24"/>
                <w:szCs w:val="24"/>
              </w:rPr>
            </w:pPr>
            <w:r>
              <w:rPr>
                <w:rFonts w:ascii="Times New Roman" w:hAnsi="Times New Roman"/>
                <w:sz w:val="24"/>
                <w:szCs w:val="24"/>
              </w:rPr>
              <w:t>Write</w:t>
            </w:r>
            <w:r>
              <w:rPr>
                <w:rFonts w:ascii="Times New Roman" w:hAnsi="Times New Roman"/>
                <w:sz w:val="24"/>
                <w:szCs w:val="24"/>
              </w:rPr>
              <w:tab/>
              <w:t>Use the “Outline of a Toulmin Argument” on page 199 and structure three (</w:t>
            </w:r>
            <w:r w:rsidRPr="00E1351C">
              <w:rPr>
                <w:rFonts w:ascii="Times New Roman" w:hAnsi="Times New Roman"/>
                <w:b/>
                <w:sz w:val="24"/>
                <w:szCs w:val="24"/>
              </w:rPr>
              <w:t>3</w:t>
            </w:r>
            <w:r>
              <w:rPr>
                <w:rFonts w:ascii="Times New Roman" w:hAnsi="Times New Roman"/>
                <w:sz w:val="24"/>
                <w:szCs w:val="24"/>
              </w:rPr>
              <w:t>) Toulmin arguments on different topics based on current political, social, or intellectual debate (use current events from which to create our argument outlines on topics of your choice). We will practice one in class. These may be handwritten.</w:t>
            </w:r>
          </w:p>
        </w:tc>
      </w:tr>
      <w:tr w:rsidR="00E82442" w:rsidTr="005C3163">
        <w:tc>
          <w:tcPr>
            <w:tcW w:w="720" w:type="dxa"/>
          </w:tcPr>
          <w:p w:rsidR="00E82442" w:rsidRDefault="00E82442" w:rsidP="00CA41DA">
            <w:pPr>
              <w:rPr>
                <w:sz w:val="20"/>
                <w:szCs w:val="20"/>
              </w:rPr>
            </w:pPr>
          </w:p>
          <w:p w:rsidR="00E82442" w:rsidRPr="00815209" w:rsidRDefault="00E82442" w:rsidP="00CA41DA">
            <w:pPr>
              <w:rPr>
                <w:sz w:val="20"/>
                <w:szCs w:val="20"/>
              </w:rPr>
            </w:pPr>
          </w:p>
        </w:tc>
        <w:tc>
          <w:tcPr>
            <w:tcW w:w="1350" w:type="dxa"/>
          </w:tcPr>
          <w:p w:rsidR="00E82442" w:rsidRDefault="00E82442" w:rsidP="00CA41DA">
            <w:r>
              <w:t>Lecture Notes</w:t>
            </w:r>
          </w:p>
          <w:p w:rsidR="00803174" w:rsidRDefault="00803174" w:rsidP="00CA41DA">
            <w:r w:rsidRPr="00803174">
              <w:rPr>
                <w:b/>
              </w:rPr>
              <w:t>2</w:t>
            </w:r>
            <w:r w:rsidR="005C3163">
              <w:rPr>
                <w:b/>
              </w:rPr>
              <w:t>0</w:t>
            </w:r>
            <w:r>
              <w:t xml:space="preserve"> points</w:t>
            </w:r>
          </w:p>
        </w:tc>
        <w:tc>
          <w:tcPr>
            <w:tcW w:w="7830" w:type="dxa"/>
          </w:tcPr>
          <w:p w:rsidR="00E82442" w:rsidRDefault="00803174" w:rsidP="00CA41DA">
            <w:r>
              <w:t>Be vigilant in honing both writing and editing skills. We will watch a video on dangling modifiers on 2/13 and then you will complete the notes page and a practice with editing worksheet related to it.</w:t>
            </w:r>
          </w:p>
        </w:tc>
      </w:tr>
      <w:tr w:rsidR="00010420" w:rsidTr="005C3163">
        <w:tc>
          <w:tcPr>
            <w:tcW w:w="720" w:type="dxa"/>
          </w:tcPr>
          <w:p w:rsidR="00010420" w:rsidRPr="00815209" w:rsidRDefault="00010420" w:rsidP="00CA41DA">
            <w:pPr>
              <w:rPr>
                <w:sz w:val="20"/>
                <w:szCs w:val="20"/>
              </w:rPr>
            </w:pPr>
          </w:p>
        </w:tc>
        <w:tc>
          <w:tcPr>
            <w:tcW w:w="1350" w:type="dxa"/>
          </w:tcPr>
          <w:p w:rsidR="00010420" w:rsidRPr="00953264" w:rsidRDefault="00010420" w:rsidP="00CA41DA">
            <w:r>
              <w:t>Vocabulary</w:t>
            </w:r>
          </w:p>
          <w:p w:rsidR="005C3163" w:rsidRDefault="005C3163" w:rsidP="00CA41DA">
            <w:pPr>
              <w:rPr>
                <w:b/>
              </w:rPr>
            </w:pPr>
          </w:p>
          <w:p w:rsidR="00010420" w:rsidRPr="00D34419" w:rsidRDefault="00010420" w:rsidP="00CA41DA">
            <w:r>
              <w:rPr>
                <w:b/>
              </w:rPr>
              <w:t>2</w:t>
            </w:r>
            <w:r w:rsidR="00147B2D">
              <w:rPr>
                <w:b/>
              </w:rPr>
              <w:t>0</w:t>
            </w:r>
            <w:r>
              <w:t xml:space="preserve"> points</w:t>
            </w:r>
          </w:p>
        </w:tc>
        <w:tc>
          <w:tcPr>
            <w:tcW w:w="7830" w:type="dxa"/>
          </w:tcPr>
          <w:p w:rsidR="00010420" w:rsidRPr="00D34419" w:rsidRDefault="00010420" w:rsidP="00147B2D">
            <w:r>
              <w:t xml:space="preserve">Keep reviewing key literary terms and complete the </w:t>
            </w:r>
            <w:r w:rsidR="00147B2D">
              <w:t>matching worksheet and crossword puzzle</w:t>
            </w:r>
            <w:r w:rsidR="00A25B77">
              <w:t>. Turn in the matching task and the crossword puzzle</w:t>
            </w:r>
            <w:r>
              <w:t xml:space="preserve"> </w:t>
            </w:r>
            <w:r w:rsidR="00147B2D">
              <w:t>only, not the word list or clues</w:t>
            </w:r>
            <w:r w:rsidR="00A25B77">
              <w:t>.</w:t>
            </w:r>
          </w:p>
        </w:tc>
      </w:tr>
      <w:tr w:rsidR="00010420" w:rsidTr="005C3163">
        <w:tc>
          <w:tcPr>
            <w:tcW w:w="720" w:type="dxa"/>
          </w:tcPr>
          <w:p w:rsidR="00010420" w:rsidRPr="00815209" w:rsidRDefault="00010420" w:rsidP="00CA41DA">
            <w:pPr>
              <w:rPr>
                <w:sz w:val="20"/>
                <w:szCs w:val="20"/>
              </w:rPr>
            </w:pPr>
          </w:p>
        </w:tc>
        <w:tc>
          <w:tcPr>
            <w:tcW w:w="1350" w:type="dxa"/>
          </w:tcPr>
          <w:p w:rsidR="00010420" w:rsidRDefault="00010420" w:rsidP="00CA41DA">
            <w:r>
              <w:t>SAE/SAT</w:t>
            </w:r>
          </w:p>
          <w:p w:rsidR="00010420" w:rsidRDefault="00010420" w:rsidP="00CA41DA"/>
          <w:p w:rsidR="00147B2D" w:rsidRPr="009A68FD" w:rsidRDefault="00147B2D" w:rsidP="00CA41DA"/>
          <w:p w:rsidR="00010420" w:rsidRDefault="00010420" w:rsidP="00CA41DA">
            <w:r>
              <w:rPr>
                <w:b/>
              </w:rPr>
              <w:t>5</w:t>
            </w:r>
            <w:r w:rsidRPr="009570B4">
              <w:rPr>
                <w:b/>
              </w:rPr>
              <w:t>5</w:t>
            </w:r>
            <w:r>
              <w:t xml:space="preserve"> points</w:t>
            </w:r>
          </w:p>
        </w:tc>
        <w:tc>
          <w:tcPr>
            <w:tcW w:w="7830" w:type="dxa"/>
          </w:tcPr>
          <w:p w:rsidR="00010420" w:rsidRDefault="00010420" w:rsidP="00147B2D">
            <w:r>
              <w:t xml:space="preserve">Complete the SAT language skills worksheets. This month, you have </w:t>
            </w:r>
            <w:r w:rsidR="00147B2D">
              <w:t>both editing and comprehension tasks</w:t>
            </w:r>
            <w:r>
              <w:t>. While you may mark on the question pages, record your a</w:t>
            </w:r>
            <w:r w:rsidR="005C3163">
              <w:t xml:space="preserve">nswers on the document provided and </w:t>
            </w:r>
            <w:r w:rsidR="005C3163" w:rsidRPr="00147B2D">
              <w:rPr>
                <w:u w:val="single"/>
              </w:rPr>
              <w:t>turn in only the answer page.</w:t>
            </w:r>
          </w:p>
        </w:tc>
      </w:tr>
      <w:tr w:rsidR="00010420" w:rsidTr="005C3163">
        <w:tc>
          <w:tcPr>
            <w:tcW w:w="720" w:type="dxa"/>
          </w:tcPr>
          <w:p w:rsidR="00010420" w:rsidRPr="002C786A" w:rsidRDefault="00010420" w:rsidP="00CA41DA">
            <w:pPr>
              <w:jc w:val="center"/>
              <w:rPr>
                <w:sz w:val="16"/>
                <w:szCs w:val="16"/>
              </w:rPr>
            </w:pPr>
            <w:r>
              <w:rPr>
                <w:sz w:val="16"/>
                <w:szCs w:val="16"/>
              </w:rPr>
              <w:t xml:space="preserve"> </w:t>
            </w:r>
          </w:p>
        </w:tc>
        <w:tc>
          <w:tcPr>
            <w:tcW w:w="1350" w:type="dxa"/>
          </w:tcPr>
          <w:p w:rsidR="00010420" w:rsidRPr="001A5AC2" w:rsidRDefault="00010420" w:rsidP="00CA41DA">
            <w:pPr>
              <w:rPr>
                <w:u w:val="single"/>
              </w:rPr>
            </w:pPr>
            <w:r w:rsidRPr="001A5AC2">
              <w:rPr>
                <w:u w:val="single"/>
              </w:rPr>
              <w:t>Readings for Writers</w:t>
            </w:r>
          </w:p>
          <w:p w:rsidR="00010420" w:rsidRDefault="00010420" w:rsidP="00CA41DA"/>
          <w:p w:rsidR="00010420" w:rsidRDefault="00010420" w:rsidP="00CA41DA"/>
          <w:p w:rsidR="00010420" w:rsidRDefault="00010420" w:rsidP="00CA41DA"/>
          <w:p w:rsidR="005C3163" w:rsidRDefault="005C3163" w:rsidP="00CA41DA"/>
          <w:p w:rsidR="00010420" w:rsidRPr="00D34419" w:rsidRDefault="00010420" w:rsidP="00CA41DA">
            <w:r>
              <w:rPr>
                <w:b/>
              </w:rPr>
              <w:t>4</w:t>
            </w:r>
            <w:r w:rsidRPr="00E32117">
              <w:rPr>
                <w:b/>
              </w:rPr>
              <w:t>5</w:t>
            </w:r>
            <w:r>
              <w:t xml:space="preserve"> points</w:t>
            </w:r>
          </w:p>
        </w:tc>
        <w:tc>
          <w:tcPr>
            <w:tcW w:w="7830" w:type="dxa"/>
          </w:tcPr>
          <w:p w:rsidR="00010420" w:rsidRDefault="004F676E" w:rsidP="00CA41DA">
            <w:pPr>
              <w:pStyle w:val="NoSpacing"/>
              <w:rPr>
                <w:rFonts w:ascii="Times New Roman" w:hAnsi="Times New Roman"/>
                <w:sz w:val="24"/>
                <w:szCs w:val="24"/>
              </w:rPr>
            </w:pPr>
            <w:r>
              <w:rPr>
                <w:rFonts w:ascii="Times New Roman" w:hAnsi="Times New Roman"/>
                <w:sz w:val="24"/>
                <w:szCs w:val="24"/>
              </w:rPr>
              <w:t>Skim</w:t>
            </w:r>
            <w:r w:rsidR="00010420">
              <w:rPr>
                <w:rFonts w:ascii="Times New Roman" w:hAnsi="Times New Roman"/>
                <w:sz w:val="24"/>
                <w:szCs w:val="24"/>
              </w:rPr>
              <w:t xml:space="preserve"> </w:t>
            </w:r>
            <w:r w:rsidR="00010420">
              <w:rPr>
                <w:rFonts w:ascii="Times New Roman" w:hAnsi="Times New Roman"/>
                <w:sz w:val="24"/>
                <w:szCs w:val="24"/>
              </w:rPr>
              <w:tab/>
              <w:t>“Division/Classification” (pgs 465 – 467)</w:t>
            </w:r>
          </w:p>
          <w:p w:rsidR="00010420" w:rsidRDefault="00010420" w:rsidP="00CA41DA">
            <w:pPr>
              <w:pStyle w:val="NoSpacing"/>
              <w:rPr>
                <w:rFonts w:ascii="Times New Roman" w:hAnsi="Times New Roman"/>
                <w:sz w:val="24"/>
                <w:szCs w:val="24"/>
              </w:rPr>
            </w:pPr>
            <w:r>
              <w:rPr>
                <w:rFonts w:ascii="Times New Roman" w:hAnsi="Times New Roman"/>
                <w:sz w:val="24"/>
                <w:szCs w:val="24"/>
              </w:rPr>
              <w:t>Read</w:t>
            </w:r>
            <w:r>
              <w:rPr>
                <w:rFonts w:ascii="Times New Roman" w:hAnsi="Times New Roman"/>
                <w:sz w:val="24"/>
                <w:szCs w:val="24"/>
              </w:rPr>
              <w:tab/>
              <w:t>“Styles of Loving” (pgs 469-479)</w:t>
            </w:r>
          </w:p>
          <w:p w:rsidR="00010420" w:rsidRDefault="00010420" w:rsidP="00CA41DA">
            <w:pPr>
              <w:pStyle w:val="NoSpacing"/>
              <w:rPr>
                <w:rFonts w:ascii="Times New Roman" w:hAnsi="Times New Roman"/>
                <w:sz w:val="24"/>
                <w:szCs w:val="24"/>
              </w:rPr>
            </w:pPr>
            <w:r>
              <w:rPr>
                <w:rFonts w:ascii="Times New Roman" w:hAnsi="Times New Roman"/>
                <w:sz w:val="24"/>
                <w:szCs w:val="24"/>
              </w:rPr>
              <w:tab/>
              <w:t>Type responses to “The Facts” #1 &amp; 3; “The Strategies” #1</w:t>
            </w:r>
            <w:r w:rsidR="00A60A92">
              <w:rPr>
                <w:rFonts w:ascii="Times New Roman" w:hAnsi="Times New Roman"/>
                <w:sz w:val="24"/>
                <w:szCs w:val="24"/>
              </w:rPr>
              <w:t xml:space="preserve"> </w:t>
            </w:r>
            <w:r>
              <w:rPr>
                <w:rFonts w:ascii="Times New Roman" w:hAnsi="Times New Roman"/>
                <w:sz w:val="24"/>
                <w:szCs w:val="24"/>
              </w:rPr>
              <w:t>&amp; 2</w:t>
            </w:r>
          </w:p>
          <w:p w:rsidR="00010420" w:rsidRDefault="00010420" w:rsidP="00CA41DA">
            <w:pPr>
              <w:pStyle w:val="NoSpacing"/>
              <w:rPr>
                <w:rFonts w:ascii="Times New Roman" w:hAnsi="Times New Roman"/>
                <w:sz w:val="24"/>
                <w:szCs w:val="24"/>
              </w:rPr>
            </w:pPr>
            <w:r>
              <w:rPr>
                <w:rFonts w:ascii="Times New Roman" w:hAnsi="Times New Roman"/>
                <w:sz w:val="24"/>
                <w:szCs w:val="24"/>
              </w:rPr>
              <w:t>Read</w:t>
            </w:r>
            <w:r>
              <w:rPr>
                <w:rFonts w:ascii="Times New Roman" w:hAnsi="Times New Roman"/>
                <w:sz w:val="24"/>
                <w:szCs w:val="24"/>
              </w:rPr>
              <w:tab/>
              <w:t>“Thinking as a Hobby” (pgs 481 – 487)</w:t>
            </w:r>
          </w:p>
          <w:p w:rsidR="00010420" w:rsidRDefault="00010420" w:rsidP="00CA41DA">
            <w:pPr>
              <w:pStyle w:val="NoSpacing"/>
              <w:rPr>
                <w:rFonts w:ascii="Times New Roman" w:hAnsi="Times New Roman"/>
                <w:sz w:val="24"/>
                <w:szCs w:val="24"/>
              </w:rPr>
            </w:pPr>
            <w:r>
              <w:rPr>
                <w:rFonts w:ascii="Times New Roman" w:hAnsi="Times New Roman"/>
                <w:sz w:val="24"/>
                <w:szCs w:val="24"/>
              </w:rPr>
              <w:tab/>
              <w:t>Type responses to “The Facts” # 1, “The Strategies” #4</w:t>
            </w:r>
          </w:p>
          <w:p w:rsidR="00010420" w:rsidRDefault="00010420" w:rsidP="00CA41DA">
            <w:pPr>
              <w:pStyle w:val="NoSpacing"/>
              <w:rPr>
                <w:rFonts w:ascii="Times New Roman" w:hAnsi="Times New Roman"/>
                <w:sz w:val="24"/>
                <w:szCs w:val="24"/>
              </w:rPr>
            </w:pPr>
            <w:r>
              <w:rPr>
                <w:rFonts w:ascii="Times New Roman" w:hAnsi="Times New Roman"/>
                <w:sz w:val="24"/>
                <w:szCs w:val="24"/>
              </w:rPr>
              <w:t>Read</w:t>
            </w:r>
            <w:r>
              <w:rPr>
                <w:rFonts w:ascii="Times New Roman" w:hAnsi="Times New Roman"/>
                <w:sz w:val="24"/>
                <w:szCs w:val="24"/>
              </w:rPr>
              <w:tab/>
              <w:t>“English 101”</w:t>
            </w:r>
          </w:p>
          <w:p w:rsidR="00010420" w:rsidRPr="000D5E77" w:rsidRDefault="00010420" w:rsidP="00CA41DA">
            <w:pPr>
              <w:pStyle w:val="NoSpacing"/>
              <w:rPr>
                <w:rFonts w:ascii="Times New Roman" w:hAnsi="Times New Roman"/>
                <w:sz w:val="24"/>
                <w:szCs w:val="24"/>
              </w:rPr>
            </w:pPr>
            <w:r>
              <w:rPr>
                <w:rFonts w:ascii="Times New Roman" w:hAnsi="Times New Roman"/>
                <w:sz w:val="24"/>
                <w:szCs w:val="24"/>
              </w:rPr>
              <w:tab/>
              <w:t>Type responses to “The Strategies” #1 &amp; 2 (pg 497)</w:t>
            </w:r>
          </w:p>
        </w:tc>
      </w:tr>
      <w:tr w:rsidR="00010420" w:rsidTr="005C3163">
        <w:tc>
          <w:tcPr>
            <w:tcW w:w="720" w:type="dxa"/>
          </w:tcPr>
          <w:p w:rsidR="00010420" w:rsidRPr="002C786A" w:rsidRDefault="00010420" w:rsidP="00CA41DA">
            <w:pPr>
              <w:rPr>
                <w:sz w:val="16"/>
                <w:szCs w:val="16"/>
              </w:rPr>
            </w:pPr>
          </w:p>
        </w:tc>
        <w:tc>
          <w:tcPr>
            <w:tcW w:w="1350" w:type="dxa"/>
          </w:tcPr>
          <w:p w:rsidR="00010420" w:rsidRDefault="00010420" w:rsidP="00CA41DA">
            <w:r>
              <w:t>Writing Task</w:t>
            </w:r>
          </w:p>
          <w:p w:rsidR="00C54F02" w:rsidRDefault="00C54F02" w:rsidP="00CA41DA"/>
          <w:p w:rsidR="00C54F02" w:rsidRDefault="00C54F02" w:rsidP="00CA41DA"/>
          <w:p w:rsidR="00010420" w:rsidRPr="00D34419" w:rsidRDefault="005C3163" w:rsidP="00CA41DA">
            <w:r>
              <w:rPr>
                <w:b/>
              </w:rPr>
              <w:t>3</w:t>
            </w:r>
            <w:r w:rsidR="00010420" w:rsidRPr="00E1351C">
              <w:rPr>
                <w:b/>
              </w:rPr>
              <w:t>0</w:t>
            </w:r>
            <w:r w:rsidR="00010420">
              <w:t xml:space="preserve"> points</w:t>
            </w:r>
          </w:p>
        </w:tc>
        <w:tc>
          <w:tcPr>
            <w:tcW w:w="7830" w:type="dxa"/>
          </w:tcPr>
          <w:p w:rsidR="004F676E" w:rsidRDefault="004F676E" w:rsidP="00CA41DA">
            <w:pPr>
              <w:pStyle w:val="NoSpacing"/>
              <w:rPr>
                <w:rFonts w:ascii="Times New Roman" w:hAnsi="Times New Roman"/>
                <w:sz w:val="24"/>
                <w:szCs w:val="24"/>
              </w:rPr>
            </w:pPr>
            <w:r>
              <w:rPr>
                <w:rFonts w:ascii="Times New Roman" w:hAnsi="Times New Roman"/>
                <w:sz w:val="24"/>
                <w:szCs w:val="24"/>
              </w:rPr>
              <w:t>Read through the synthesis essay resources</w:t>
            </w:r>
            <w:r w:rsidR="0082365B">
              <w:rPr>
                <w:rFonts w:ascii="Times New Roman" w:hAnsi="Times New Roman"/>
                <w:sz w:val="24"/>
                <w:szCs w:val="24"/>
              </w:rPr>
              <w:t xml:space="preserve"> (in-class handout on 1/28)</w:t>
            </w:r>
            <w:r>
              <w:rPr>
                <w:rFonts w:ascii="Times New Roman" w:hAnsi="Times New Roman"/>
                <w:sz w:val="24"/>
                <w:szCs w:val="24"/>
              </w:rPr>
              <w:t xml:space="preserve">. </w:t>
            </w:r>
          </w:p>
          <w:p w:rsidR="004F676E" w:rsidRDefault="004F676E" w:rsidP="004F676E">
            <w:pPr>
              <w:pStyle w:val="NoSpacing"/>
              <w:numPr>
                <w:ilvl w:val="0"/>
                <w:numId w:val="2"/>
              </w:numPr>
              <w:rPr>
                <w:rFonts w:ascii="Times New Roman" w:hAnsi="Times New Roman"/>
                <w:sz w:val="24"/>
                <w:szCs w:val="24"/>
              </w:rPr>
            </w:pPr>
            <w:r>
              <w:rPr>
                <w:rFonts w:ascii="Times New Roman" w:hAnsi="Times New Roman"/>
                <w:sz w:val="24"/>
                <w:szCs w:val="24"/>
              </w:rPr>
              <w:t xml:space="preserve">In each text provided, identify the author’s claim and support. </w:t>
            </w:r>
          </w:p>
          <w:p w:rsidR="004F676E" w:rsidRDefault="004F676E" w:rsidP="004F676E">
            <w:pPr>
              <w:pStyle w:val="NoSpacing"/>
              <w:numPr>
                <w:ilvl w:val="0"/>
                <w:numId w:val="2"/>
              </w:numPr>
              <w:rPr>
                <w:rFonts w:ascii="Times New Roman" w:hAnsi="Times New Roman"/>
                <w:sz w:val="24"/>
                <w:szCs w:val="24"/>
              </w:rPr>
            </w:pPr>
            <w:r>
              <w:rPr>
                <w:rFonts w:ascii="Times New Roman" w:hAnsi="Times New Roman"/>
                <w:sz w:val="24"/>
                <w:szCs w:val="24"/>
              </w:rPr>
              <w:t>Create an argument outline, citing from the sources provided</w:t>
            </w:r>
          </w:p>
          <w:p w:rsidR="00C54F02" w:rsidRPr="004F676E" w:rsidRDefault="004F676E" w:rsidP="004F676E">
            <w:pPr>
              <w:pStyle w:val="NoSpacing"/>
              <w:numPr>
                <w:ilvl w:val="0"/>
                <w:numId w:val="2"/>
              </w:numPr>
              <w:rPr>
                <w:rFonts w:ascii="Times New Roman" w:hAnsi="Times New Roman"/>
                <w:sz w:val="24"/>
                <w:szCs w:val="24"/>
              </w:rPr>
            </w:pPr>
            <w:r w:rsidRPr="004F676E">
              <w:rPr>
                <w:rFonts w:ascii="Times New Roman" w:hAnsi="Times New Roman"/>
                <w:sz w:val="24"/>
                <w:szCs w:val="24"/>
                <w:u w:val="single"/>
              </w:rPr>
              <w:t>Handwrite</w:t>
            </w:r>
            <w:r>
              <w:rPr>
                <w:rFonts w:ascii="Times New Roman" w:hAnsi="Times New Roman"/>
                <w:sz w:val="24"/>
                <w:szCs w:val="24"/>
              </w:rPr>
              <w:t xml:space="preserve"> a response essay –time yourself for 40 minutes – did you finish? If yes, great! If no</w:t>
            </w:r>
            <w:r w:rsidR="00147B2D">
              <w:rPr>
                <w:rFonts w:ascii="Times New Roman" w:hAnsi="Times New Roman"/>
                <w:sz w:val="24"/>
                <w:szCs w:val="24"/>
              </w:rPr>
              <w:t xml:space="preserve">t, </w:t>
            </w:r>
            <w:r>
              <w:rPr>
                <w:rFonts w:ascii="Times New Roman" w:hAnsi="Times New Roman"/>
                <w:sz w:val="24"/>
                <w:szCs w:val="24"/>
              </w:rPr>
              <w:t>go ahead and finish and work on pacing!</w:t>
            </w:r>
          </w:p>
        </w:tc>
      </w:tr>
    </w:tbl>
    <w:p w:rsidR="00010420" w:rsidRDefault="00CA41DA" w:rsidP="00010420">
      <w:r>
        <w:t>* Juniors – have you signed up to take the SAT and/or ACT yet? NOW!</w:t>
      </w:r>
    </w:p>
    <w:p w:rsidR="00010420" w:rsidRDefault="00010420" w:rsidP="00010420">
      <w:pPr>
        <w:ind w:right="180"/>
        <w:jc w:val="right"/>
      </w:pPr>
      <w:r>
        <w:t xml:space="preserve">_____/Points earned of </w:t>
      </w:r>
      <w:r w:rsidR="005C3163">
        <w:rPr>
          <w:b/>
          <w:u w:val="single"/>
        </w:rPr>
        <w:t>2</w:t>
      </w:r>
      <w:r w:rsidR="00D54FEE">
        <w:rPr>
          <w:b/>
          <w:u w:val="single"/>
        </w:rPr>
        <w:t>05</w:t>
      </w:r>
      <w:r>
        <w:t xml:space="preserve"> </w:t>
      </w:r>
      <w:r w:rsidRPr="004262A8">
        <w:t>possible</w:t>
      </w:r>
      <w:r>
        <w:t xml:space="preserve"> </w:t>
      </w:r>
    </w:p>
    <w:p w:rsidR="00010420" w:rsidRDefault="00010420" w:rsidP="00010420"/>
    <w:p w:rsidR="00010420" w:rsidRDefault="00010420" w:rsidP="00010420"/>
    <w:p w:rsidR="00010420" w:rsidRDefault="00010420" w:rsidP="00010420"/>
    <w:p w:rsidR="00013F3B" w:rsidRDefault="00013F3B"/>
    <w:sectPr w:rsidR="00013F3B" w:rsidSect="004C0592">
      <w:headerReference w:type="default" r:id="rId7"/>
      <w:footerReference w:type="default" r:id="rId8"/>
      <w:pgSz w:w="12240" w:h="15840"/>
      <w:pgMar w:top="1440" w:right="1152"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2D" w:rsidRDefault="00147B2D" w:rsidP="00390624">
      <w:r>
        <w:separator/>
      </w:r>
    </w:p>
  </w:endnote>
  <w:endnote w:type="continuationSeparator" w:id="0">
    <w:p w:rsidR="00147B2D" w:rsidRDefault="00147B2D" w:rsidP="0039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2D" w:rsidRDefault="00147B2D">
    <w:pPr>
      <w:pStyle w:val="Footer"/>
    </w:pPr>
  </w:p>
  <w:p w:rsidR="00147B2D" w:rsidRDefault="00147B2D" w:rsidP="00CA41D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2D" w:rsidRDefault="00147B2D" w:rsidP="00390624">
      <w:r>
        <w:separator/>
      </w:r>
    </w:p>
  </w:footnote>
  <w:footnote w:type="continuationSeparator" w:id="0">
    <w:p w:rsidR="00147B2D" w:rsidRDefault="00147B2D" w:rsidP="00390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2D" w:rsidRPr="00C87349" w:rsidRDefault="00147B2D" w:rsidP="00CA41DA">
    <w:pPr>
      <w:pStyle w:val="Header"/>
      <w:pBdr>
        <w:bottom w:val="thickThinSmallGap" w:sz="24" w:space="1" w:color="622423"/>
      </w:pBdr>
      <w:rPr>
        <w:sz w:val="28"/>
        <w:szCs w:val="28"/>
      </w:rPr>
    </w:pPr>
    <w:r>
      <w:rPr>
        <w:sz w:val="28"/>
        <w:szCs w:val="28"/>
      </w:rPr>
      <w:t>AP Language &amp; Composition</w:t>
    </w:r>
    <w:r w:rsidRPr="00C87349">
      <w:rPr>
        <w:sz w:val="28"/>
        <w:szCs w:val="28"/>
      </w:rPr>
      <w:t xml:space="preserve">   </w:t>
    </w:r>
    <w:r>
      <w:rPr>
        <w:sz w:val="28"/>
        <w:szCs w:val="28"/>
      </w:rPr>
      <w:tab/>
      <w:t xml:space="preserve">   </w:t>
    </w:r>
    <w:r>
      <w:rPr>
        <w:sz w:val="28"/>
        <w:szCs w:val="28"/>
      </w:rPr>
      <w:tab/>
      <w:t>Month 6 Assignment Sheet</w:t>
    </w:r>
  </w:p>
  <w:p w:rsidR="00147B2D" w:rsidRDefault="00147B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72C"/>
    <w:multiLevelType w:val="multilevel"/>
    <w:tmpl w:val="5492E408"/>
    <w:styleLink w:val="TechnicalReport"/>
    <w:lvl w:ilvl="0">
      <w:start w:val="1"/>
      <w:numFmt w:val="upperRoman"/>
      <w:lvlText w:val="%1"/>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18D4EA2"/>
    <w:multiLevelType w:val="hybridMultilevel"/>
    <w:tmpl w:val="BB00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420"/>
    <w:rsid w:val="00010420"/>
    <w:rsid w:val="00013F3B"/>
    <w:rsid w:val="00147B2D"/>
    <w:rsid w:val="00185898"/>
    <w:rsid w:val="00390624"/>
    <w:rsid w:val="0045060B"/>
    <w:rsid w:val="004C0592"/>
    <w:rsid w:val="004F676E"/>
    <w:rsid w:val="005C3163"/>
    <w:rsid w:val="005D1C71"/>
    <w:rsid w:val="00803174"/>
    <w:rsid w:val="0082365B"/>
    <w:rsid w:val="00993FD2"/>
    <w:rsid w:val="00A25B77"/>
    <w:rsid w:val="00A60A92"/>
    <w:rsid w:val="00C54F02"/>
    <w:rsid w:val="00CA41DA"/>
    <w:rsid w:val="00CD46FD"/>
    <w:rsid w:val="00D34306"/>
    <w:rsid w:val="00D54FEE"/>
    <w:rsid w:val="00E82442"/>
    <w:rsid w:val="00EA3055"/>
    <w:rsid w:val="00F5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Report">
    <w:name w:val="Technical Report"/>
    <w:uiPriority w:val="99"/>
    <w:rsid w:val="00D34306"/>
    <w:pPr>
      <w:numPr>
        <w:numId w:val="1"/>
      </w:numPr>
    </w:pPr>
  </w:style>
  <w:style w:type="paragraph" w:styleId="Footer">
    <w:name w:val="footer"/>
    <w:basedOn w:val="Normal"/>
    <w:link w:val="FooterChar"/>
    <w:uiPriority w:val="99"/>
    <w:rsid w:val="00010420"/>
    <w:pPr>
      <w:tabs>
        <w:tab w:val="center" w:pos="4320"/>
        <w:tab w:val="right" w:pos="8640"/>
      </w:tabs>
    </w:pPr>
  </w:style>
  <w:style w:type="character" w:customStyle="1" w:styleId="FooterChar">
    <w:name w:val="Footer Char"/>
    <w:basedOn w:val="DefaultParagraphFont"/>
    <w:link w:val="Footer"/>
    <w:uiPriority w:val="99"/>
    <w:rsid w:val="00010420"/>
    <w:rPr>
      <w:rFonts w:ascii="Times New Roman" w:eastAsia="Times New Roman" w:hAnsi="Times New Roman" w:cs="Times New Roman"/>
      <w:sz w:val="24"/>
      <w:szCs w:val="24"/>
    </w:rPr>
  </w:style>
  <w:style w:type="paragraph" w:styleId="Header">
    <w:name w:val="header"/>
    <w:basedOn w:val="Normal"/>
    <w:link w:val="HeaderChar"/>
    <w:uiPriority w:val="99"/>
    <w:rsid w:val="00010420"/>
    <w:pPr>
      <w:tabs>
        <w:tab w:val="center" w:pos="4680"/>
        <w:tab w:val="right" w:pos="9360"/>
      </w:tabs>
    </w:pPr>
  </w:style>
  <w:style w:type="character" w:customStyle="1" w:styleId="HeaderChar">
    <w:name w:val="Header Char"/>
    <w:basedOn w:val="DefaultParagraphFont"/>
    <w:link w:val="Header"/>
    <w:uiPriority w:val="99"/>
    <w:rsid w:val="00010420"/>
    <w:rPr>
      <w:rFonts w:ascii="Times New Roman" w:eastAsia="Times New Roman" w:hAnsi="Times New Roman" w:cs="Times New Roman"/>
      <w:sz w:val="24"/>
      <w:szCs w:val="24"/>
    </w:rPr>
  </w:style>
  <w:style w:type="paragraph" w:styleId="NoSpacing">
    <w:name w:val="No Spacing"/>
    <w:uiPriority w:val="1"/>
    <w:qFormat/>
    <w:rsid w:val="0001042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4</cp:revision>
  <cp:lastPrinted>2019-07-12T04:10:00Z</cp:lastPrinted>
  <dcterms:created xsi:type="dcterms:W3CDTF">2019-07-12T03:34:00Z</dcterms:created>
  <dcterms:modified xsi:type="dcterms:W3CDTF">2019-07-12T04:12:00Z</dcterms:modified>
</cp:coreProperties>
</file>