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F4" w:rsidRPr="00503BC1" w:rsidRDefault="00461DF4" w:rsidP="00D44A7B">
      <w:pPr>
        <w:pStyle w:val="NoSpacing"/>
        <w:rPr>
          <w:rFonts w:ascii="Times New Roman" w:hAnsi="Times New Roman"/>
          <w:color w:val="000000" w:themeColor="text1"/>
          <w:szCs w:val="24"/>
        </w:rPr>
      </w:pPr>
      <w:r w:rsidRPr="00503BC1">
        <w:rPr>
          <w:rFonts w:ascii="Times New Roman" w:hAnsi="Times New Roman"/>
          <w:color w:val="000000" w:themeColor="text1"/>
          <w:szCs w:val="24"/>
        </w:rPr>
        <w:t>Name: __________________________________________</w:t>
      </w:r>
    </w:p>
    <w:p w:rsidR="00461DF4" w:rsidRPr="00503BC1" w:rsidRDefault="00461DF4" w:rsidP="00461DF4">
      <w:pPr>
        <w:rPr>
          <w:color w:val="000000" w:themeColor="text1"/>
          <w:u w:val="single"/>
        </w:rPr>
      </w:pPr>
    </w:p>
    <w:p w:rsidR="00EF1530" w:rsidRDefault="00D44A7B" w:rsidP="00EF1530">
      <w:pPr>
        <w:rPr>
          <w:color w:val="000000" w:themeColor="text1"/>
        </w:rPr>
      </w:pPr>
      <w:r>
        <w:rPr>
          <w:b/>
          <w:color w:val="000000" w:themeColor="text1"/>
        </w:rPr>
        <w:t>11/20</w:t>
      </w:r>
      <w:r w:rsidR="00EF1530">
        <w:rPr>
          <w:b/>
          <w:color w:val="000000" w:themeColor="text1"/>
        </w:rPr>
        <w:t>:</w:t>
      </w:r>
      <w:r w:rsidR="00461DF4" w:rsidRPr="00503BC1">
        <w:rPr>
          <w:b/>
          <w:color w:val="000000" w:themeColor="text1"/>
        </w:rPr>
        <w:t xml:space="preserve"> </w:t>
      </w:r>
      <w:r w:rsidR="00461DF4" w:rsidRPr="001F58CC">
        <w:rPr>
          <w:color w:val="000000" w:themeColor="text1"/>
        </w:rPr>
        <w:t xml:space="preserve">The Structure of an Argument, identifying claims practice, and mad </w:t>
      </w:r>
      <w:proofErr w:type="spellStart"/>
      <w:r w:rsidR="00461DF4" w:rsidRPr="001F58CC">
        <w:rPr>
          <w:color w:val="000000" w:themeColor="text1"/>
        </w:rPr>
        <w:t>libs</w:t>
      </w:r>
      <w:proofErr w:type="spellEnd"/>
      <w:r w:rsidR="00461DF4" w:rsidRPr="001F58CC">
        <w:rPr>
          <w:color w:val="000000" w:themeColor="text1"/>
        </w:rPr>
        <w:t>/parts of speech</w:t>
      </w:r>
      <w:r w:rsidR="00461DF4" w:rsidRPr="001F58CC">
        <w:rPr>
          <w:color w:val="000000" w:themeColor="text1"/>
        </w:rPr>
        <w:br/>
      </w:r>
      <w:r w:rsidR="00461DF4" w:rsidRPr="001F58CC">
        <w:rPr>
          <w:b/>
          <w:color w:val="000000" w:themeColor="text1"/>
        </w:rPr>
        <w:t>12/</w:t>
      </w:r>
      <w:r>
        <w:rPr>
          <w:b/>
          <w:color w:val="000000" w:themeColor="text1"/>
        </w:rPr>
        <w:t>4</w:t>
      </w:r>
      <w:r w:rsidR="00EF1530">
        <w:rPr>
          <w:color w:val="000000" w:themeColor="text1"/>
        </w:rPr>
        <w:t>:</w:t>
      </w:r>
      <w:r w:rsidR="00461DF4" w:rsidRPr="001F58CC">
        <w:rPr>
          <w:color w:val="000000" w:themeColor="text1"/>
        </w:rPr>
        <w:t xml:space="preserve"> </w:t>
      </w:r>
      <w:r w:rsidR="00EF1530">
        <w:rPr>
          <w:color w:val="000000" w:themeColor="text1"/>
        </w:rPr>
        <w:t xml:space="preserve">   Group A: Go to room 6 today – SBAC interim (20 points separate score)</w:t>
      </w:r>
      <w:r w:rsidR="00EF1530">
        <w:rPr>
          <w:color w:val="000000" w:themeColor="text1"/>
        </w:rPr>
        <w:tab/>
      </w:r>
    </w:p>
    <w:p w:rsidR="00EF1530" w:rsidRPr="001F58CC" w:rsidRDefault="00EF1530" w:rsidP="00461DF4">
      <w:pPr>
        <w:rPr>
          <w:color w:val="000000" w:themeColor="text1"/>
        </w:rPr>
      </w:pPr>
      <w:r>
        <w:rPr>
          <w:color w:val="000000" w:themeColor="text1"/>
        </w:rPr>
        <w:tab/>
        <w:t xml:space="preserve">Group B: </w:t>
      </w:r>
      <w:r w:rsidRPr="001F58CC">
        <w:rPr>
          <w:color w:val="000000" w:themeColor="text1"/>
        </w:rPr>
        <w:t xml:space="preserve">Review claims, evidence and reasoning in both Stanton and </w:t>
      </w:r>
      <w:proofErr w:type="spellStart"/>
      <w:r w:rsidRPr="001F58CC">
        <w:rPr>
          <w:color w:val="000000" w:themeColor="text1"/>
        </w:rPr>
        <w:t>Krents</w:t>
      </w:r>
      <w:proofErr w:type="spellEnd"/>
      <w:r w:rsidRPr="001F58CC">
        <w:rPr>
          <w:color w:val="000000" w:themeColor="text1"/>
        </w:rPr>
        <w:t xml:space="preserve"> essays; Review </w:t>
      </w:r>
      <w:r>
        <w:rPr>
          <w:color w:val="000000" w:themeColor="text1"/>
        </w:rPr>
        <w:tab/>
      </w:r>
      <w:r w:rsidRPr="001F58CC">
        <w:rPr>
          <w:color w:val="000000" w:themeColor="text1"/>
        </w:rPr>
        <w:t>word analysis and perfect tense worksheets</w:t>
      </w:r>
    </w:p>
    <w:p w:rsidR="00EF1530" w:rsidRDefault="00461DF4" w:rsidP="00EF1530">
      <w:pPr>
        <w:rPr>
          <w:color w:val="000000" w:themeColor="text1"/>
        </w:rPr>
      </w:pPr>
      <w:r w:rsidRPr="001F58CC">
        <w:rPr>
          <w:b/>
          <w:color w:val="000000" w:themeColor="text1"/>
        </w:rPr>
        <w:t>12/1</w:t>
      </w:r>
      <w:r w:rsidR="00D44A7B">
        <w:rPr>
          <w:b/>
          <w:color w:val="000000" w:themeColor="text1"/>
        </w:rPr>
        <w:t>1</w:t>
      </w:r>
      <w:r w:rsidR="00EF1530">
        <w:rPr>
          <w:color w:val="000000" w:themeColor="text1"/>
        </w:rPr>
        <w:t xml:space="preserve">:  Group A: </w:t>
      </w:r>
      <w:r w:rsidR="00EF1530" w:rsidRPr="001F58CC">
        <w:rPr>
          <w:color w:val="000000" w:themeColor="text1"/>
        </w:rPr>
        <w:t xml:space="preserve">Review claims, evidence and reasoning in both Stanton and </w:t>
      </w:r>
      <w:proofErr w:type="spellStart"/>
      <w:r w:rsidR="00EF1530" w:rsidRPr="001F58CC">
        <w:rPr>
          <w:color w:val="000000" w:themeColor="text1"/>
        </w:rPr>
        <w:t>Krents</w:t>
      </w:r>
      <w:proofErr w:type="spellEnd"/>
      <w:r w:rsidR="00EF1530" w:rsidRPr="001F58CC">
        <w:rPr>
          <w:color w:val="000000" w:themeColor="text1"/>
        </w:rPr>
        <w:t xml:space="preserve"> essays; Review </w:t>
      </w:r>
      <w:r w:rsidR="00EF1530">
        <w:rPr>
          <w:color w:val="000000" w:themeColor="text1"/>
        </w:rPr>
        <w:tab/>
      </w:r>
      <w:r w:rsidR="00EF1530" w:rsidRPr="001F58CC">
        <w:rPr>
          <w:color w:val="000000" w:themeColor="text1"/>
        </w:rPr>
        <w:t>word analysis and perfect tense worksheets</w:t>
      </w:r>
    </w:p>
    <w:p w:rsidR="00EF1530" w:rsidRDefault="00EF1530" w:rsidP="00461DF4">
      <w:pPr>
        <w:rPr>
          <w:color w:val="000000" w:themeColor="text1"/>
        </w:rPr>
      </w:pPr>
      <w:r>
        <w:rPr>
          <w:color w:val="000000" w:themeColor="text1"/>
        </w:rPr>
        <w:tab/>
        <w:t>Group B: Go to room 6 today – SBAC interim (20 points separate score)</w:t>
      </w:r>
      <w:r>
        <w:rPr>
          <w:color w:val="000000" w:themeColor="text1"/>
        </w:rPr>
        <w:tab/>
      </w:r>
    </w:p>
    <w:p w:rsidR="00461DF4" w:rsidRPr="00503BC1" w:rsidRDefault="00EF1530" w:rsidP="00461DF4">
      <w:pPr>
        <w:rPr>
          <w:color w:val="000000" w:themeColor="text1"/>
        </w:rPr>
      </w:pPr>
      <w:r w:rsidRPr="00EF1530">
        <w:rPr>
          <w:b/>
          <w:color w:val="000000" w:themeColor="text1"/>
        </w:rPr>
        <w:t>12/18</w:t>
      </w:r>
      <w:r>
        <w:rPr>
          <w:color w:val="000000" w:themeColor="text1"/>
        </w:rPr>
        <w:t>: Month 4 Exam</w:t>
      </w:r>
    </w:p>
    <w:tbl>
      <w:tblPr>
        <w:tblpPr w:leftFromText="180" w:rightFromText="180" w:vertAnchor="text" w:tblpX="-32" w:tblpY="95"/>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1971"/>
        <w:gridCol w:w="7461"/>
      </w:tblGrid>
      <w:tr w:rsidR="00461DF4" w:rsidRPr="00503BC1" w:rsidTr="001F58CC">
        <w:trPr>
          <w:trHeight w:val="173"/>
        </w:trPr>
        <w:tc>
          <w:tcPr>
            <w:tcW w:w="10388" w:type="dxa"/>
            <w:gridSpan w:val="3"/>
            <w:shd w:val="clear" w:color="auto" w:fill="DDD9C3"/>
          </w:tcPr>
          <w:p w:rsidR="00461DF4" w:rsidRPr="00503BC1" w:rsidRDefault="00461DF4" w:rsidP="001F58CC">
            <w:pPr>
              <w:jc w:val="center"/>
              <w:rPr>
                <w:b/>
                <w:color w:val="000000" w:themeColor="text1"/>
              </w:rPr>
            </w:pPr>
            <w:r>
              <w:rPr>
                <w:b/>
                <w:color w:val="000000" w:themeColor="text1"/>
              </w:rPr>
              <w:t>Analyzing Claims, Evidence, and Reasoning</w:t>
            </w:r>
          </w:p>
        </w:tc>
      </w:tr>
      <w:tr w:rsidR="00461DF4" w:rsidRPr="00503BC1" w:rsidTr="001F58CC">
        <w:trPr>
          <w:trHeight w:val="56"/>
        </w:trPr>
        <w:tc>
          <w:tcPr>
            <w:tcW w:w="956" w:type="dxa"/>
            <w:shd w:val="clear" w:color="auto" w:fill="DDD9C3"/>
          </w:tcPr>
          <w:p w:rsidR="00461DF4" w:rsidRPr="00503BC1" w:rsidRDefault="00461DF4" w:rsidP="001F58CC">
            <w:pPr>
              <w:jc w:val="center"/>
              <w:rPr>
                <w:b/>
                <w:color w:val="000000" w:themeColor="text1"/>
              </w:rPr>
            </w:pPr>
            <w:r w:rsidRPr="00503BC1">
              <w:rPr>
                <w:b/>
                <w:color w:val="000000" w:themeColor="text1"/>
              </w:rPr>
              <w:t xml:space="preserve">Points </w:t>
            </w:r>
          </w:p>
        </w:tc>
        <w:tc>
          <w:tcPr>
            <w:tcW w:w="1971" w:type="dxa"/>
            <w:shd w:val="clear" w:color="auto" w:fill="DDD9C3"/>
          </w:tcPr>
          <w:p w:rsidR="00461DF4" w:rsidRPr="00503BC1" w:rsidRDefault="00461DF4" w:rsidP="001F58CC">
            <w:pPr>
              <w:jc w:val="center"/>
              <w:rPr>
                <w:b/>
                <w:color w:val="000000" w:themeColor="text1"/>
              </w:rPr>
            </w:pPr>
            <w:r w:rsidRPr="00503BC1">
              <w:rPr>
                <w:b/>
                <w:color w:val="000000" w:themeColor="text1"/>
              </w:rPr>
              <w:t>Pages</w:t>
            </w:r>
          </w:p>
        </w:tc>
        <w:tc>
          <w:tcPr>
            <w:tcW w:w="7461" w:type="dxa"/>
            <w:shd w:val="clear" w:color="auto" w:fill="DDD9C3"/>
          </w:tcPr>
          <w:p w:rsidR="00461DF4" w:rsidRPr="00503BC1" w:rsidRDefault="00461DF4" w:rsidP="001F58CC">
            <w:pPr>
              <w:jc w:val="center"/>
              <w:rPr>
                <w:b/>
                <w:color w:val="000000" w:themeColor="text1"/>
              </w:rPr>
            </w:pPr>
            <w:r w:rsidRPr="00503BC1">
              <w:rPr>
                <w:b/>
                <w:color w:val="000000" w:themeColor="text1"/>
              </w:rPr>
              <w:t>Assignment</w:t>
            </w:r>
          </w:p>
        </w:tc>
      </w:tr>
      <w:tr w:rsidR="00461DF4" w:rsidRPr="00503BC1" w:rsidTr="001F58CC">
        <w:trPr>
          <w:trHeight w:val="159"/>
        </w:trPr>
        <w:tc>
          <w:tcPr>
            <w:tcW w:w="956" w:type="dxa"/>
            <w:tcBorders>
              <w:bottom w:val="single" w:sz="4" w:space="0" w:color="auto"/>
            </w:tcBorders>
            <w:shd w:val="clear" w:color="auto" w:fill="D9D9D9" w:themeFill="background1" w:themeFillShade="D9"/>
            <w:vAlign w:val="center"/>
          </w:tcPr>
          <w:p w:rsidR="00461DF4" w:rsidRPr="00503BC1" w:rsidRDefault="00461DF4" w:rsidP="001F58CC">
            <w:pPr>
              <w:jc w:val="right"/>
              <w:rPr>
                <w:color w:val="000000" w:themeColor="text1"/>
              </w:rPr>
            </w:pPr>
          </w:p>
        </w:tc>
        <w:tc>
          <w:tcPr>
            <w:tcW w:w="1971" w:type="dxa"/>
            <w:vAlign w:val="center"/>
          </w:tcPr>
          <w:p w:rsidR="00461DF4" w:rsidRPr="00503BC1" w:rsidRDefault="00461DF4" w:rsidP="001F58CC">
            <w:pPr>
              <w:jc w:val="center"/>
              <w:rPr>
                <w:color w:val="000000" w:themeColor="text1"/>
              </w:rPr>
            </w:pPr>
            <w:r w:rsidRPr="00503BC1">
              <w:rPr>
                <w:color w:val="000000" w:themeColor="text1"/>
              </w:rPr>
              <w:t>Anthology</w:t>
            </w:r>
            <w:r w:rsidRPr="00503BC1">
              <w:rPr>
                <w:color w:val="000000" w:themeColor="text1"/>
              </w:rPr>
              <w:br/>
              <w:t xml:space="preserve"> Pg. </w:t>
            </w:r>
            <w:r>
              <w:rPr>
                <w:color w:val="000000" w:themeColor="text1"/>
              </w:rPr>
              <w:t>404</w:t>
            </w:r>
          </w:p>
        </w:tc>
        <w:tc>
          <w:tcPr>
            <w:tcW w:w="7461" w:type="dxa"/>
            <w:vAlign w:val="center"/>
          </w:tcPr>
          <w:p w:rsidR="00461DF4" w:rsidRDefault="00461DF4" w:rsidP="001F58CC">
            <w:pPr>
              <w:rPr>
                <w:color w:val="000000" w:themeColor="text1"/>
              </w:rPr>
            </w:pPr>
            <w:r w:rsidRPr="00503BC1">
              <w:rPr>
                <w:color w:val="000000" w:themeColor="text1"/>
              </w:rPr>
              <w:t>Read</w:t>
            </w:r>
            <w:r>
              <w:rPr>
                <w:color w:val="000000" w:themeColor="text1"/>
              </w:rPr>
              <w:t>:</w:t>
            </w:r>
            <w:r w:rsidRPr="00503BC1">
              <w:rPr>
                <w:color w:val="000000" w:themeColor="text1"/>
              </w:rPr>
              <w:t xml:space="preserve"> </w:t>
            </w:r>
            <w:r w:rsidRPr="00A42290">
              <w:rPr>
                <w:i/>
                <w:color w:val="000000" w:themeColor="text1"/>
              </w:rPr>
              <w:t>Arguments in Favor of a Sixteenth Amendment</w:t>
            </w:r>
          </w:p>
          <w:p w:rsidR="00461DF4" w:rsidRPr="00503BC1" w:rsidRDefault="00461DF4" w:rsidP="001F58CC">
            <w:pPr>
              <w:rPr>
                <w:color w:val="000000" w:themeColor="text1"/>
              </w:rPr>
            </w:pPr>
            <w:r>
              <w:rPr>
                <w:color w:val="000000" w:themeColor="text1"/>
              </w:rPr>
              <w:t>Elizabeth Cady Stanton</w:t>
            </w:r>
          </w:p>
        </w:tc>
      </w:tr>
      <w:tr w:rsidR="00461DF4" w:rsidRPr="00503BC1" w:rsidTr="001F58CC">
        <w:trPr>
          <w:trHeight w:val="159"/>
        </w:trPr>
        <w:tc>
          <w:tcPr>
            <w:tcW w:w="956" w:type="dxa"/>
            <w:shd w:val="clear" w:color="auto" w:fill="FFFFFF" w:themeFill="background1"/>
            <w:vAlign w:val="center"/>
          </w:tcPr>
          <w:p w:rsidR="00461DF4" w:rsidRPr="00503BC1" w:rsidRDefault="00461DF4" w:rsidP="00D96C8E">
            <w:pPr>
              <w:jc w:val="right"/>
              <w:rPr>
                <w:color w:val="000000" w:themeColor="text1"/>
              </w:rPr>
            </w:pPr>
            <w:r w:rsidRPr="00503BC1">
              <w:rPr>
                <w:color w:val="000000" w:themeColor="text1"/>
              </w:rPr>
              <w:t>/</w:t>
            </w:r>
            <w:r w:rsidR="00D96C8E">
              <w:rPr>
                <w:color w:val="000000" w:themeColor="text1"/>
              </w:rPr>
              <w:t>20</w:t>
            </w:r>
          </w:p>
        </w:tc>
        <w:tc>
          <w:tcPr>
            <w:tcW w:w="1971" w:type="dxa"/>
            <w:vAlign w:val="center"/>
          </w:tcPr>
          <w:p w:rsidR="00461DF4" w:rsidRPr="00503BC1" w:rsidRDefault="00461DF4" w:rsidP="001F58CC">
            <w:pPr>
              <w:jc w:val="center"/>
              <w:rPr>
                <w:color w:val="000000" w:themeColor="text1"/>
              </w:rPr>
            </w:pPr>
            <w:r>
              <w:rPr>
                <w:color w:val="000000" w:themeColor="text1"/>
              </w:rPr>
              <w:t>Comprehension and Activity</w:t>
            </w:r>
          </w:p>
          <w:p w:rsidR="00461DF4" w:rsidRPr="00503BC1" w:rsidRDefault="00461DF4" w:rsidP="001F58CC">
            <w:pPr>
              <w:jc w:val="center"/>
              <w:rPr>
                <w:color w:val="000000" w:themeColor="text1"/>
              </w:rPr>
            </w:pPr>
            <w:r w:rsidRPr="00503BC1">
              <w:rPr>
                <w:color w:val="000000" w:themeColor="text1"/>
              </w:rPr>
              <w:t xml:space="preserve">Pg. </w:t>
            </w:r>
            <w:r>
              <w:rPr>
                <w:color w:val="000000" w:themeColor="text1"/>
              </w:rPr>
              <w:t>407</w:t>
            </w:r>
          </w:p>
        </w:tc>
        <w:tc>
          <w:tcPr>
            <w:tcW w:w="7461" w:type="dxa"/>
            <w:vAlign w:val="center"/>
          </w:tcPr>
          <w:p w:rsidR="00461DF4" w:rsidRDefault="009D2F4E" w:rsidP="00461DF4">
            <w:pPr>
              <w:rPr>
                <w:color w:val="000000" w:themeColor="text1"/>
              </w:rPr>
            </w:pPr>
            <w:r>
              <w:rPr>
                <w:color w:val="000000" w:themeColor="text1"/>
              </w:rPr>
              <w:t>Type your responses to questions 1, 5, 6, 7, and 8</w:t>
            </w:r>
            <w:r w:rsidR="00461DF4" w:rsidRPr="00503BC1">
              <w:rPr>
                <w:color w:val="000000" w:themeColor="text1"/>
              </w:rPr>
              <w:t xml:space="preserve"> all parts</w:t>
            </w:r>
          </w:p>
          <w:p w:rsidR="00D96C8E" w:rsidRPr="00503BC1" w:rsidRDefault="00D96C8E" w:rsidP="00461DF4">
            <w:pPr>
              <w:rPr>
                <w:color w:val="000000" w:themeColor="text1"/>
              </w:rPr>
            </w:pPr>
            <w:r>
              <w:rPr>
                <w:color w:val="000000" w:themeColor="text1"/>
              </w:rPr>
              <w:t>Do the “Activity” on this page perhaps a new amendment that you think we should have today.</w:t>
            </w:r>
          </w:p>
        </w:tc>
      </w:tr>
      <w:tr w:rsidR="00461DF4" w:rsidRPr="00503BC1" w:rsidTr="001F58CC">
        <w:trPr>
          <w:trHeight w:val="159"/>
        </w:trPr>
        <w:tc>
          <w:tcPr>
            <w:tcW w:w="956" w:type="dxa"/>
            <w:shd w:val="clear" w:color="auto" w:fill="D9D9D9" w:themeFill="background1" w:themeFillShade="D9"/>
            <w:vAlign w:val="center"/>
          </w:tcPr>
          <w:p w:rsidR="00461DF4" w:rsidRPr="00503BC1" w:rsidRDefault="00461DF4" w:rsidP="001F58CC">
            <w:pPr>
              <w:jc w:val="right"/>
              <w:rPr>
                <w:color w:val="000000" w:themeColor="text1"/>
              </w:rPr>
            </w:pPr>
          </w:p>
        </w:tc>
        <w:tc>
          <w:tcPr>
            <w:tcW w:w="1971" w:type="dxa"/>
            <w:vAlign w:val="center"/>
          </w:tcPr>
          <w:p w:rsidR="00461DF4" w:rsidRPr="00503BC1" w:rsidRDefault="00461DF4" w:rsidP="001F58CC">
            <w:pPr>
              <w:jc w:val="center"/>
              <w:rPr>
                <w:color w:val="000000" w:themeColor="text1"/>
              </w:rPr>
            </w:pPr>
            <w:r w:rsidRPr="00503BC1">
              <w:rPr>
                <w:color w:val="000000" w:themeColor="text1"/>
              </w:rPr>
              <w:t>Anthology</w:t>
            </w:r>
          </w:p>
          <w:p w:rsidR="00461DF4" w:rsidRPr="00503BC1" w:rsidRDefault="00461DF4" w:rsidP="001F58CC">
            <w:pPr>
              <w:jc w:val="center"/>
              <w:rPr>
                <w:color w:val="000000" w:themeColor="text1"/>
              </w:rPr>
            </w:pPr>
            <w:r w:rsidRPr="00503BC1">
              <w:rPr>
                <w:color w:val="000000" w:themeColor="text1"/>
              </w:rPr>
              <w:t xml:space="preserve">Pg. </w:t>
            </w:r>
            <w:r>
              <w:rPr>
                <w:color w:val="000000" w:themeColor="text1"/>
              </w:rPr>
              <w:t>40-9</w:t>
            </w:r>
          </w:p>
        </w:tc>
        <w:tc>
          <w:tcPr>
            <w:tcW w:w="7461" w:type="dxa"/>
            <w:vAlign w:val="center"/>
          </w:tcPr>
          <w:p w:rsidR="00461DF4" w:rsidRDefault="00461DF4" w:rsidP="001F58CC">
            <w:pPr>
              <w:rPr>
                <w:color w:val="000000" w:themeColor="text1"/>
              </w:rPr>
            </w:pPr>
            <w:r w:rsidRPr="00503BC1">
              <w:rPr>
                <w:color w:val="000000" w:themeColor="text1"/>
              </w:rPr>
              <w:t>Read</w:t>
            </w:r>
            <w:r>
              <w:rPr>
                <w:color w:val="000000" w:themeColor="text1"/>
              </w:rPr>
              <w:t xml:space="preserve">: </w:t>
            </w:r>
            <w:r w:rsidRPr="00A42290">
              <w:rPr>
                <w:i/>
                <w:color w:val="000000" w:themeColor="text1"/>
              </w:rPr>
              <w:t>Darkness at Noon</w:t>
            </w:r>
          </w:p>
          <w:p w:rsidR="00461DF4" w:rsidRPr="00503BC1" w:rsidRDefault="00461DF4" w:rsidP="001F58CC">
            <w:pPr>
              <w:rPr>
                <w:color w:val="000000" w:themeColor="text1"/>
              </w:rPr>
            </w:pPr>
            <w:r>
              <w:rPr>
                <w:color w:val="000000" w:themeColor="text1"/>
              </w:rPr>
              <w:t xml:space="preserve">Harold </w:t>
            </w:r>
            <w:proofErr w:type="spellStart"/>
            <w:r>
              <w:rPr>
                <w:color w:val="000000" w:themeColor="text1"/>
              </w:rPr>
              <w:t>Krents</w:t>
            </w:r>
            <w:proofErr w:type="spellEnd"/>
          </w:p>
        </w:tc>
      </w:tr>
      <w:tr w:rsidR="00461DF4" w:rsidRPr="00503BC1" w:rsidTr="001F58CC">
        <w:trPr>
          <w:trHeight w:val="147"/>
        </w:trPr>
        <w:tc>
          <w:tcPr>
            <w:tcW w:w="956" w:type="dxa"/>
            <w:vAlign w:val="center"/>
          </w:tcPr>
          <w:p w:rsidR="00461DF4" w:rsidRPr="00503BC1" w:rsidRDefault="00461DF4" w:rsidP="001F58CC">
            <w:pPr>
              <w:jc w:val="right"/>
              <w:rPr>
                <w:color w:val="000000" w:themeColor="text1"/>
              </w:rPr>
            </w:pPr>
            <w:r w:rsidRPr="00503BC1">
              <w:rPr>
                <w:color w:val="000000" w:themeColor="text1"/>
              </w:rPr>
              <w:t>/</w:t>
            </w:r>
            <w:r>
              <w:rPr>
                <w:color w:val="000000" w:themeColor="text1"/>
              </w:rPr>
              <w:t>15</w:t>
            </w:r>
          </w:p>
        </w:tc>
        <w:tc>
          <w:tcPr>
            <w:tcW w:w="1971" w:type="dxa"/>
            <w:vAlign w:val="center"/>
          </w:tcPr>
          <w:p w:rsidR="00461DF4" w:rsidRPr="00503BC1" w:rsidRDefault="00461DF4" w:rsidP="001F58CC">
            <w:pPr>
              <w:jc w:val="center"/>
              <w:rPr>
                <w:color w:val="000000" w:themeColor="text1"/>
              </w:rPr>
            </w:pPr>
            <w:r>
              <w:rPr>
                <w:color w:val="000000" w:themeColor="text1"/>
              </w:rPr>
              <w:t>Comprehension</w:t>
            </w:r>
          </w:p>
          <w:p w:rsidR="00461DF4" w:rsidRPr="00503BC1" w:rsidRDefault="00461DF4" w:rsidP="001F58CC">
            <w:pPr>
              <w:jc w:val="center"/>
              <w:rPr>
                <w:color w:val="000000" w:themeColor="text1"/>
              </w:rPr>
            </w:pPr>
            <w:r w:rsidRPr="00503BC1">
              <w:rPr>
                <w:color w:val="000000" w:themeColor="text1"/>
              </w:rPr>
              <w:t xml:space="preserve">Pg. </w:t>
            </w:r>
            <w:r>
              <w:rPr>
                <w:color w:val="000000" w:themeColor="text1"/>
              </w:rPr>
              <w:t>411</w:t>
            </w:r>
          </w:p>
        </w:tc>
        <w:tc>
          <w:tcPr>
            <w:tcW w:w="7461" w:type="dxa"/>
          </w:tcPr>
          <w:p w:rsidR="00461DF4" w:rsidRPr="00503BC1" w:rsidRDefault="00461DF4" w:rsidP="001F58CC">
            <w:pPr>
              <w:rPr>
                <w:color w:val="000000" w:themeColor="text1"/>
              </w:rPr>
            </w:pPr>
            <w:r>
              <w:rPr>
                <w:color w:val="000000" w:themeColor="text1"/>
              </w:rPr>
              <w:t>2, 3 (a and b), 4 and 6</w:t>
            </w:r>
          </w:p>
        </w:tc>
      </w:tr>
      <w:tr w:rsidR="0053678F" w:rsidRPr="00503BC1" w:rsidTr="001F58CC">
        <w:trPr>
          <w:trHeight w:val="147"/>
        </w:trPr>
        <w:tc>
          <w:tcPr>
            <w:tcW w:w="956" w:type="dxa"/>
            <w:vAlign w:val="center"/>
          </w:tcPr>
          <w:p w:rsidR="0053678F" w:rsidRPr="00503BC1" w:rsidRDefault="0053678F" w:rsidP="001F58CC">
            <w:pPr>
              <w:jc w:val="right"/>
              <w:rPr>
                <w:color w:val="000000" w:themeColor="text1"/>
              </w:rPr>
            </w:pPr>
            <w:r>
              <w:rPr>
                <w:color w:val="000000" w:themeColor="text1"/>
              </w:rPr>
              <w:t>/8</w:t>
            </w:r>
          </w:p>
        </w:tc>
        <w:tc>
          <w:tcPr>
            <w:tcW w:w="1971" w:type="dxa"/>
            <w:vAlign w:val="center"/>
          </w:tcPr>
          <w:p w:rsidR="0053678F" w:rsidRPr="0053678F" w:rsidRDefault="0053678F" w:rsidP="001F58CC">
            <w:pPr>
              <w:jc w:val="center"/>
              <w:rPr>
                <w:i/>
                <w:color w:val="000000" w:themeColor="text1"/>
              </w:rPr>
            </w:pPr>
            <w:proofErr w:type="spellStart"/>
            <w:r w:rsidRPr="0053678F">
              <w:rPr>
                <w:i/>
                <w:color w:val="000000" w:themeColor="text1"/>
              </w:rPr>
              <w:t>Newsela</w:t>
            </w:r>
            <w:proofErr w:type="spellEnd"/>
          </w:p>
        </w:tc>
        <w:tc>
          <w:tcPr>
            <w:tcW w:w="7461" w:type="dxa"/>
          </w:tcPr>
          <w:p w:rsidR="0053678F" w:rsidRDefault="0053678F" w:rsidP="001F58CC">
            <w:pPr>
              <w:rPr>
                <w:color w:val="000000" w:themeColor="text1"/>
              </w:rPr>
            </w:pPr>
            <w:r>
              <w:rPr>
                <w:color w:val="000000" w:themeColor="text1"/>
              </w:rPr>
              <w:t xml:space="preserve">Go to your </w:t>
            </w:r>
            <w:proofErr w:type="spellStart"/>
            <w:r>
              <w:rPr>
                <w:color w:val="000000" w:themeColor="text1"/>
              </w:rPr>
              <w:t>Newsela</w:t>
            </w:r>
            <w:proofErr w:type="spellEnd"/>
            <w:r>
              <w:rPr>
                <w:color w:val="000000" w:themeColor="text1"/>
              </w:rPr>
              <w:t xml:space="preserve"> folder online and complete the two readings and the 4 multiple choice questions for each text.</w:t>
            </w:r>
          </w:p>
        </w:tc>
      </w:tr>
      <w:tr w:rsidR="00461DF4" w:rsidRPr="00503BC1" w:rsidTr="001F58CC">
        <w:trPr>
          <w:trHeight w:val="101"/>
        </w:trPr>
        <w:tc>
          <w:tcPr>
            <w:tcW w:w="956" w:type="dxa"/>
            <w:tcBorders>
              <w:bottom w:val="single" w:sz="4" w:space="0" w:color="auto"/>
            </w:tcBorders>
            <w:vAlign w:val="center"/>
          </w:tcPr>
          <w:p w:rsidR="00461DF4" w:rsidRPr="00503BC1" w:rsidRDefault="00C27AF4" w:rsidP="001F58CC">
            <w:pPr>
              <w:jc w:val="right"/>
              <w:rPr>
                <w:color w:val="000000" w:themeColor="text1"/>
              </w:rPr>
            </w:pPr>
            <w:r>
              <w:rPr>
                <w:color w:val="000000" w:themeColor="text1"/>
              </w:rPr>
              <w:t>/20</w:t>
            </w:r>
          </w:p>
        </w:tc>
        <w:tc>
          <w:tcPr>
            <w:tcW w:w="1971" w:type="dxa"/>
            <w:vAlign w:val="center"/>
          </w:tcPr>
          <w:p w:rsidR="00461DF4" w:rsidRPr="00503BC1" w:rsidRDefault="00461DF4" w:rsidP="001F58CC">
            <w:pPr>
              <w:jc w:val="center"/>
              <w:rPr>
                <w:color w:val="000000" w:themeColor="text1"/>
              </w:rPr>
            </w:pPr>
            <w:r>
              <w:rPr>
                <w:color w:val="000000" w:themeColor="text1"/>
              </w:rPr>
              <w:t>Sample Argument Essay Analysis</w:t>
            </w:r>
          </w:p>
        </w:tc>
        <w:tc>
          <w:tcPr>
            <w:tcW w:w="7461" w:type="dxa"/>
            <w:vAlign w:val="center"/>
          </w:tcPr>
          <w:p w:rsidR="00461DF4" w:rsidRPr="00503BC1" w:rsidRDefault="00D96C8E" w:rsidP="001F58CC">
            <w:pPr>
              <w:spacing w:after="240"/>
              <w:rPr>
                <w:color w:val="000000" w:themeColor="text1"/>
              </w:rPr>
            </w:pPr>
            <w:r>
              <w:rPr>
                <w:color w:val="000000" w:themeColor="text1"/>
              </w:rPr>
              <w:t>Read the two sample argumentative essays (attached). Read closely to find the author’s claim, supports, and type of appeal used for each one. Fill in this information on the Argument Outline Template provided for each one. We will practice this in class on 11/20 and review your work on 12/4</w:t>
            </w:r>
            <w:r w:rsidR="00EF1530">
              <w:rPr>
                <w:color w:val="000000" w:themeColor="text1"/>
              </w:rPr>
              <w:t xml:space="preserve"> &amp; 12/11</w:t>
            </w:r>
            <w:r>
              <w:rPr>
                <w:color w:val="000000" w:themeColor="text1"/>
              </w:rPr>
              <w:t>.</w:t>
            </w:r>
          </w:p>
        </w:tc>
      </w:tr>
      <w:tr w:rsidR="00461DF4" w:rsidRPr="00503BC1" w:rsidTr="001F58CC">
        <w:trPr>
          <w:trHeight w:val="933"/>
        </w:trPr>
        <w:tc>
          <w:tcPr>
            <w:tcW w:w="956" w:type="dxa"/>
            <w:shd w:val="clear" w:color="auto" w:fill="EEECE1" w:themeFill="background2"/>
            <w:vAlign w:val="center"/>
          </w:tcPr>
          <w:p w:rsidR="00461DF4" w:rsidRPr="00503BC1" w:rsidRDefault="00461DF4" w:rsidP="001F58CC">
            <w:pPr>
              <w:jc w:val="right"/>
              <w:rPr>
                <w:color w:val="000000" w:themeColor="text1"/>
              </w:rPr>
            </w:pPr>
            <w:r>
              <w:rPr>
                <w:color w:val="000000" w:themeColor="text1"/>
              </w:rPr>
              <w:t>/2</w:t>
            </w:r>
            <w:r w:rsidR="001F58CC">
              <w:rPr>
                <w:color w:val="000000" w:themeColor="text1"/>
              </w:rPr>
              <w:t>5</w:t>
            </w:r>
          </w:p>
        </w:tc>
        <w:tc>
          <w:tcPr>
            <w:tcW w:w="1971" w:type="dxa"/>
            <w:vAlign w:val="center"/>
          </w:tcPr>
          <w:p w:rsidR="00461DF4" w:rsidRPr="00503BC1" w:rsidRDefault="00461DF4" w:rsidP="001F58CC">
            <w:pPr>
              <w:jc w:val="center"/>
              <w:rPr>
                <w:color w:val="000000" w:themeColor="text1"/>
              </w:rPr>
            </w:pPr>
            <w:r w:rsidRPr="00503BC1">
              <w:rPr>
                <w:color w:val="000000" w:themeColor="text1"/>
              </w:rPr>
              <w:t>Vocabulary</w:t>
            </w:r>
          </w:p>
        </w:tc>
        <w:tc>
          <w:tcPr>
            <w:tcW w:w="7461" w:type="dxa"/>
            <w:vAlign w:val="center"/>
          </w:tcPr>
          <w:p w:rsidR="001F58CC" w:rsidRDefault="001F58CC" w:rsidP="001F58CC">
            <w:pPr>
              <w:pStyle w:val="NoSpacing"/>
            </w:pPr>
            <w:r>
              <w:t xml:space="preserve">1. </w:t>
            </w:r>
            <w:r w:rsidR="00CD4345">
              <w:t>Study the</w:t>
            </w:r>
            <w:r w:rsidR="00461DF4">
              <w:t xml:space="preserve"> list </w:t>
            </w:r>
            <w:r w:rsidR="00CD4345">
              <w:t xml:space="preserve">of words for this month </w:t>
            </w:r>
            <w:r w:rsidR="00461DF4">
              <w:t xml:space="preserve">and find definitions for those words you are not familiar with. </w:t>
            </w:r>
          </w:p>
          <w:p w:rsidR="00461DF4" w:rsidRDefault="001F58CC" w:rsidP="001F58CC">
            <w:pPr>
              <w:pStyle w:val="NoSpacing"/>
            </w:pPr>
            <w:proofErr w:type="gramStart"/>
            <w:r>
              <w:t>2.</w:t>
            </w:r>
            <w:r w:rsidR="00461DF4">
              <w:t>Complete</w:t>
            </w:r>
            <w:proofErr w:type="gramEnd"/>
            <w:r w:rsidR="00461DF4">
              <w:t xml:space="preserve"> the two worksheets (word analysis and vocabulary review).</w:t>
            </w:r>
            <w:r>
              <w:t xml:space="preserve"> </w:t>
            </w:r>
          </w:p>
          <w:p w:rsidR="001F58CC" w:rsidRPr="001F58CC" w:rsidRDefault="001F58CC" w:rsidP="001F58CC">
            <w:pPr>
              <w:pStyle w:val="NoSpacing"/>
            </w:pPr>
            <w:r>
              <w:t>3. Choose any ten (10) words from the vocabulary list and write complete sentences that show you understand what each word means by providing context for it.</w:t>
            </w:r>
          </w:p>
        </w:tc>
      </w:tr>
      <w:tr w:rsidR="00461DF4" w:rsidRPr="00503BC1" w:rsidTr="001F58CC">
        <w:trPr>
          <w:trHeight w:val="679"/>
        </w:trPr>
        <w:tc>
          <w:tcPr>
            <w:tcW w:w="956" w:type="dxa"/>
            <w:shd w:val="clear" w:color="auto" w:fill="EAF1DD" w:themeFill="accent3" w:themeFillTint="33"/>
            <w:vAlign w:val="center"/>
          </w:tcPr>
          <w:p w:rsidR="00461DF4" w:rsidRPr="00503BC1" w:rsidRDefault="00461DF4" w:rsidP="001F58CC">
            <w:pPr>
              <w:jc w:val="right"/>
            </w:pPr>
            <w:r w:rsidRPr="00291206">
              <w:t>/20</w:t>
            </w:r>
          </w:p>
        </w:tc>
        <w:tc>
          <w:tcPr>
            <w:tcW w:w="1971" w:type="dxa"/>
            <w:shd w:val="clear" w:color="auto" w:fill="FFFFFF" w:themeFill="background1"/>
            <w:vAlign w:val="center"/>
          </w:tcPr>
          <w:p w:rsidR="00461DF4" w:rsidRPr="00503BC1" w:rsidRDefault="00461DF4" w:rsidP="001F58CC">
            <w:pPr>
              <w:jc w:val="center"/>
              <w:rPr>
                <w:color w:val="000000" w:themeColor="text1"/>
              </w:rPr>
            </w:pPr>
            <w:r>
              <w:rPr>
                <w:color w:val="000000" w:themeColor="text1"/>
              </w:rPr>
              <w:t>Writing</w:t>
            </w:r>
          </w:p>
        </w:tc>
        <w:tc>
          <w:tcPr>
            <w:tcW w:w="7461" w:type="dxa"/>
            <w:shd w:val="clear" w:color="auto" w:fill="FFFFFF" w:themeFill="background1"/>
            <w:vAlign w:val="center"/>
          </w:tcPr>
          <w:p w:rsidR="00461DF4" w:rsidRPr="001F58CC" w:rsidRDefault="00A20604" w:rsidP="00A20604">
            <w:pPr>
              <w:rPr>
                <w:color w:val="000000" w:themeColor="text1"/>
              </w:rPr>
            </w:pPr>
            <w:r>
              <w:rPr>
                <w:color w:val="000000" w:themeColor="text1"/>
              </w:rPr>
              <w:t>Complete an</w:t>
            </w:r>
            <w:r w:rsidR="00D96C8E">
              <w:rPr>
                <w:color w:val="000000" w:themeColor="text1"/>
              </w:rPr>
              <w:t xml:space="preserve"> </w:t>
            </w:r>
            <w:r>
              <w:rPr>
                <w:color w:val="000000" w:themeColor="text1"/>
              </w:rPr>
              <w:t xml:space="preserve">argument outlines </w:t>
            </w:r>
            <w:r w:rsidRPr="00866DC9">
              <w:rPr>
                <w:i/>
                <w:color w:val="000000" w:themeColor="text1"/>
              </w:rPr>
              <w:t>for a topic of your choice</w:t>
            </w:r>
            <w:r>
              <w:rPr>
                <w:color w:val="000000" w:themeColor="text1"/>
              </w:rPr>
              <w:t xml:space="preserve">. While a suggestion list is provided, you are free to create an argument on any topic of your choice. You may </w:t>
            </w:r>
            <w:r w:rsidRPr="00AD3515">
              <w:rPr>
                <w:color w:val="000000" w:themeColor="text1"/>
                <w:u w:val="single"/>
              </w:rPr>
              <w:t>earn up to 5 bonus points</w:t>
            </w:r>
            <w:r>
              <w:rPr>
                <w:color w:val="000000" w:themeColor="text1"/>
              </w:rPr>
              <w:t xml:space="preserve"> if you build an argument related to your science fair project! You will present your argument to a partner in class on 12/11 (10 points, scored separately) and turn in your written argument essay.</w:t>
            </w:r>
          </w:p>
        </w:tc>
      </w:tr>
      <w:tr w:rsidR="00461DF4" w:rsidRPr="00503BC1" w:rsidTr="001F58CC">
        <w:trPr>
          <w:trHeight w:val="111"/>
        </w:trPr>
        <w:tc>
          <w:tcPr>
            <w:tcW w:w="956" w:type="dxa"/>
            <w:shd w:val="clear" w:color="auto" w:fill="EAF1DD" w:themeFill="accent3" w:themeFillTint="33"/>
            <w:vAlign w:val="center"/>
          </w:tcPr>
          <w:p w:rsidR="00461DF4" w:rsidRPr="00503BC1" w:rsidRDefault="00461DF4" w:rsidP="001F58CC">
            <w:pPr>
              <w:jc w:val="right"/>
              <w:rPr>
                <w:color w:val="000000" w:themeColor="text1"/>
              </w:rPr>
            </w:pPr>
            <w:r>
              <w:rPr>
                <w:color w:val="000000" w:themeColor="text1"/>
              </w:rPr>
              <w:t>/2</w:t>
            </w:r>
            <w:r w:rsidR="00C27AF4">
              <w:rPr>
                <w:color w:val="000000" w:themeColor="text1"/>
              </w:rPr>
              <w:t>5</w:t>
            </w:r>
          </w:p>
        </w:tc>
        <w:tc>
          <w:tcPr>
            <w:tcW w:w="1971" w:type="dxa"/>
            <w:shd w:val="clear" w:color="auto" w:fill="FFFFFF" w:themeFill="background1"/>
            <w:vAlign w:val="center"/>
          </w:tcPr>
          <w:p w:rsidR="00461DF4" w:rsidRPr="00291206" w:rsidRDefault="00461DF4" w:rsidP="001F58CC">
            <w:pPr>
              <w:jc w:val="center"/>
              <w:rPr>
                <w:color w:val="000000" w:themeColor="text1"/>
              </w:rPr>
            </w:pPr>
            <w:r w:rsidRPr="00291206">
              <w:rPr>
                <w:color w:val="000000" w:themeColor="text1"/>
              </w:rPr>
              <w:t xml:space="preserve">Skills Development </w:t>
            </w:r>
          </w:p>
        </w:tc>
        <w:tc>
          <w:tcPr>
            <w:tcW w:w="7461" w:type="dxa"/>
            <w:shd w:val="clear" w:color="auto" w:fill="FFFFFF" w:themeFill="background1"/>
            <w:vAlign w:val="center"/>
          </w:tcPr>
          <w:p w:rsidR="00461DF4" w:rsidRPr="0046274E" w:rsidRDefault="00461DF4" w:rsidP="001F58CC">
            <w:pPr>
              <w:rPr>
                <w:color w:val="000000" w:themeColor="text1"/>
              </w:rPr>
            </w:pPr>
            <w:r>
              <w:rPr>
                <w:color w:val="000000" w:themeColor="text1"/>
              </w:rPr>
              <w:t xml:space="preserve">Complete the </w:t>
            </w:r>
            <w:r>
              <w:rPr>
                <w:i/>
                <w:color w:val="000000" w:themeColor="text1"/>
              </w:rPr>
              <w:t xml:space="preserve">Mad </w:t>
            </w:r>
            <w:proofErr w:type="spellStart"/>
            <w:r>
              <w:rPr>
                <w:i/>
                <w:color w:val="000000" w:themeColor="text1"/>
              </w:rPr>
              <w:t>Libs</w:t>
            </w:r>
            <w:proofErr w:type="spellEnd"/>
            <w:r>
              <w:rPr>
                <w:color w:val="000000" w:themeColor="text1"/>
              </w:rPr>
              <w:t xml:space="preserve">: Parts of Speech, Simple </w:t>
            </w:r>
            <w:proofErr w:type="spellStart"/>
            <w:r>
              <w:rPr>
                <w:color w:val="000000" w:themeColor="text1"/>
              </w:rPr>
              <w:t>vs</w:t>
            </w:r>
            <w:proofErr w:type="spellEnd"/>
            <w:r>
              <w:rPr>
                <w:color w:val="000000" w:themeColor="text1"/>
              </w:rPr>
              <w:t xml:space="preserve"> Perfect tense review, Comma use, and Editing Practice worksheets (attached).</w:t>
            </w:r>
          </w:p>
        </w:tc>
      </w:tr>
      <w:tr w:rsidR="00461DF4" w:rsidRPr="00503BC1" w:rsidTr="001F58CC">
        <w:trPr>
          <w:trHeight w:val="201"/>
        </w:trPr>
        <w:tc>
          <w:tcPr>
            <w:tcW w:w="956" w:type="dxa"/>
            <w:shd w:val="clear" w:color="auto" w:fill="EAF1DD" w:themeFill="accent3" w:themeFillTint="33"/>
            <w:vAlign w:val="center"/>
          </w:tcPr>
          <w:p w:rsidR="00461DF4" w:rsidRPr="00503BC1" w:rsidRDefault="00461DF4" w:rsidP="001F58CC">
            <w:pPr>
              <w:jc w:val="right"/>
              <w:rPr>
                <w:color w:val="000000" w:themeColor="text1"/>
              </w:rPr>
            </w:pPr>
          </w:p>
        </w:tc>
        <w:tc>
          <w:tcPr>
            <w:tcW w:w="1971" w:type="dxa"/>
            <w:shd w:val="clear" w:color="auto" w:fill="EAF1DD" w:themeFill="accent3" w:themeFillTint="33"/>
            <w:vAlign w:val="center"/>
          </w:tcPr>
          <w:p w:rsidR="00461DF4" w:rsidRPr="00503BC1" w:rsidRDefault="00C27AF4" w:rsidP="001F58CC">
            <w:pPr>
              <w:jc w:val="center"/>
              <w:rPr>
                <w:b/>
                <w:color w:val="000000" w:themeColor="text1"/>
              </w:rPr>
            </w:pPr>
            <w:r>
              <w:rPr>
                <w:b/>
                <w:color w:val="000000" w:themeColor="text1"/>
              </w:rPr>
              <w:t>133</w:t>
            </w:r>
            <w:r w:rsidR="0053678F">
              <w:rPr>
                <w:b/>
                <w:color w:val="000000" w:themeColor="text1"/>
              </w:rPr>
              <w:t xml:space="preserve"> points possible</w:t>
            </w:r>
          </w:p>
        </w:tc>
        <w:tc>
          <w:tcPr>
            <w:tcW w:w="7461" w:type="dxa"/>
            <w:shd w:val="clear" w:color="auto" w:fill="EAF1DD" w:themeFill="accent3" w:themeFillTint="33"/>
            <w:vAlign w:val="center"/>
          </w:tcPr>
          <w:p w:rsidR="00461DF4" w:rsidRPr="00503BC1" w:rsidRDefault="00A20604" w:rsidP="001F58CC">
            <w:pPr>
              <w:rPr>
                <w:b/>
                <w:color w:val="000000" w:themeColor="text1"/>
              </w:rPr>
            </w:pPr>
            <w:r w:rsidRPr="00AD3515">
              <w:rPr>
                <w:b/>
                <w:color w:val="000000" w:themeColor="text1"/>
              </w:rPr>
              <w:t>*</w:t>
            </w:r>
            <w:r>
              <w:rPr>
                <w:b/>
                <w:color w:val="000000" w:themeColor="text1"/>
              </w:rPr>
              <w:t xml:space="preserve"> </w:t>
            </w:r>
            <w:r w:rsidRPr="00AD3515">
              <w:rPr>
                <w:b/>
                <w:color w:val="000000" w:themeColor="text1"/>
              </w:rPr>
              <w:t>Rem</w:t>
            </w:r>
            <w:r>
              <w:rPr>
                <w:b/>
                <w:color w:val="000000" w:themeColor="text1"/>
              </w:rPr>
              <w:t>ember – an independent reading book review is due with your Month 5 work. You should have selected and started reading by now.</w:t>
            </w:r>
          </w:p>
        </w:tc>
      </w:tr>
    </w:tbl>
    <w:p w:rsidR="00013F3B" w:rsidRPr="00461DF4" w:rsidRDefault="00013F3B">
      <w:pPr>
        <w:rPr>
          <w:rFonts w:eastAsiaTheme="minorHAnsi"/>
          <w:color w:val="000000" w:themeColor="text1"/>
        </w:rPr>
      </w:pPr>
    </w:p>
    <w:sectPr w:rsidR="00013F3B" w:rsidRPr="00461DF4" w:rsidSect="001F58CC">
      <w:headerReference w:type="default" r:id="rId7"/>
      <w:headerReference w:type="first" r:id="rId8"/>
      <w:pgSz w:w="12240" w:h="15840"/>
      <w:pgMar w:top="1152" w:right="1152" w:bottom="864" w:left="1152"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A7B" w:rsidRDefault="00D44A7B" w:rsidP="009D2F4E">
      <w:r>
        <w:separator/>
      </w:r>
    </w:p>
  </w:endnote>
  <w:endnote w:type="continuationSeparator" w:id="0">
    <w:p w:rsidR="00D44A7B" w:rsidRDefault="00D44A7B" w:rsidP="009D2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A7B" w:rsidRDefault="00D44A7B" w:rsidP="009D2F4E">
      <w:r>
        <w:separator/>
      </w:r>
    </w:p>
  </w:footnote>
  <w:footnote w:type="continuationSeparator" w:id="0">
    <w:p w:rsidR="00D44A7B" w:rsidRDefault="00D44A7B" w:rsidP="009D2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7B" w:rsidRPr="00BA3F58" w:rsidRDefault="00D44A7B" w:rsidP="001F58CC">
    <w:pPr>
      <w:pStyle w:val="Header"/>
      <w:tabs>
        <w:tab w:val="clear" w:pos="8640"/>
        <w:tab w:val="right" w:pos="9360"/>
      </w:tabs>
      <w:rPr>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7B" w:rsidRPr="00275C69" w:rsidRDefault="00D44A7B" w:rsidP="001F58CC">
    <w:pPr>
      <w:pStyle w:val="Header"/>
      <w:tabs>
        <w:tab w:val="clear" w:pos="8640"/>
        <w:tab w:val="right" w:pos="9360"/>
      </w:tabs>
      <w:rPr>
        <w:b/>
        <w:sz w:val="28"/>
        <w:szCs w:val="28"/>
      </w:rPr>
    </w:pPr>
    <w:r w:rsidRPr="00503BC1">
      <w:rPr>
        <w:b/>
        <w:sz w:val="28"/>
        <w:szCs w:val="28"/>
      </w:rPr>
      <w:t>8</w:t>
    </w:r>
    <w:r w:rsidRPr="00503BC1">
      <w:rPr>
        <w:b/>
        <w:sz w:val="28"/>
        <w:szCs w:val="28"/>
        <w:vertAlign w:val="superscript"/>
      </w:rPr>
      <w:t>th</w:t>
    </w:r>
    <w:r w:rsidRPr="00503BC1">
      <w:rPr>
        <w:b/>
        <w:sz w:val="28"/>
        <w:szCs w:val="28"/>
      </w:rPr>
      <w:t xml:space="preserve"> Grade English</w:t>
    </w:r>
    <w:r>
      <w:rPr>
        <w:b/>
        <w:sz w:val="28"/>
        <w:szCs w:val="28"/>
      </w:rPr>
      <w:t xml:space="preserve"> Cluster</w:t>
    </w:r>
    <w:r w:rsidRPr="00FE2AC7">
      <w:rPr>
        <w:b/>
      </w:rPr>
      <w:tab/>
    </w:r>
    <w:r w:rsidRPr="00FE2AC7">
      <w:rPr>
        <w:b/>
      </w:rPr>
      <w:tab/>
    </w:r>
    <w:r>
      <w:rPr>
        <w:b/>
      </w:rPr>
      <w:t xml:space="preserve">     </w:t>
    </w:r>
    <w:r>
      <w:t xml:space="preserve">    </w:t>
    </w:r>
    <w:r>
      <w:rPr>
        <w:b/>
      </w:rPr>
      <w:t xml:space="preserve">        </w:t>
    </w:r>
    <w:r>
      <w:rPr>
        <w:b/>
        <w:sz w:val="28"/>
        <w:szCs w:val="28"/>
      </w:rPr>
      <w:t>Month 4</w:t>
    </w:r>
    <w:r w:rsidRPr="00D373BC">
      <w:rPr>
        <w:b/>
        <w:sz w:val="28"/>
        <w:szCs w:val="28"/>
      </w:rPr>
      <w:t xml:space="preserve"> Assignment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D84"/>
    <w:multiLevelType w:val="hybridMultilevel"/>
    <w:tmpl w:val="8256BD94"/>
    <w:lvl w:ilvl="0" w:tplc="110A3110">
      <w:start w:val="1"/>
      <w:numFmt w:val="bullet"/>
      <w:lvlText w:val=""/>
      <w:lvlJc w:val="left"/>
      <w:pPr>
        <w:tabs>
          <w:tab w:val="num" w:pos="720"/>
        </w:tabs>
        <w:ind w:left="720" w:hanging="360"/>
      </w:pPr>
      <w:rPr>
        <w:rFonts w:ascii="Symbol" w:hAnsi="Symbol" w:hint="default"/>
      </w:rPr>
    </w:lvl>
    <w:lvl w:ilvl="1" w:tplc="BAD86526">
      <w:start w:val="1"/>
      <w:numFmt w:val="bullet"/>
      <w:lvlText w:val="o"/>
      <w:lvlJc w:val="left"/>
      <w:pPr>
        <w:tabs>
          <w:tab w:val="num" w:pos="1440"/>
        </w:tabs>
        <w:ind w:left="1440" w:hanging="360"/>
      </w:pPr>
      <w:rPr>
        <w:rFonts w:ascii="Courier New" w:hAnsi="Courier New" w:hint="default"/>
      </w:rPr>
    </w:lvl>
    <w:lvl w:ilvl="2" w:tplc="CE0297CA">
      <w:start w:val="1"/>
      <w:numFmt w:val="bullet"/>
      <w:lvlText w:val=""/>
      <w:lvlJc w:val="left"/>
      <w:pPr>
        <w:tabs>
          <w:tab w:val="num" w:pos="2160"/>
        </w:tabs>
        <w:ind w:left="2160" w:hanging="360"/>
      </w:pPr>
      <w:rPr>
        <w:rFonts w:ascii="Wingdings" w:hAnsi="Wingdings" w:hint="default"/>
      </w:rPr>
    </w:lvl>
    <w:lvl w:ilvl="3" w:tplc="BE88DEC8" w:tentative="1">
      <w:start w:val="1"/>
      <w:numFmt w:val="bullet"/>
      <w:lvlText w:val=""/>
      <w:lvlJc w:val="left"/>
      <w:pPr>
        <w:tabs>
          <w:tab w:val="num" w:pos="2880"/>
        </w:tabs>
        <w:ind w:left="2880" w:hanging="360"/>
      </w:pPr>
      <w:rPr>
        <w:rFonts w:ascii="Symbol" w:hAnsi="Symbol" w:hint="default"/>
      </w:rPr>
    </w:lvl>
    <w:lvl w:ilvl="4" w:tplc="61D22E6A" w:tentative="1">
      <w:start w:val="1"/>
      <w:numFmt w:val="bullet"/>
      <w:lvlText w:val="o"/>
      <w:lvlJc w:val="left"/>
      <w:pPr>
        <w:tabs>
          <w:tab w:val="num" w:pos="3600"/>
        </w:tabs>
        <w:ind w:left="3600" w:hanging="360"/>
      </w:pPr>
      <w:rPr>
        <w:rFonts w:ascii="Courier New" w:hAnsi="Courier New" w:hint="default"/>
      </w:rPr>
    </w:lvl>
    <w:lvl w:ilvl="5" w:tplc="0AC0D340" w:tentative="1">
      <w:start w:val="1"/>
      <w:numFmt w:val="bullet"/>
      <w:lvlText w:val=""/>
      <w:lvlJc w:val="left"/>
      <w:pPr>
        <w:tabs>
          <w:tab w:val="num" w:pos="4320"/>
        </w:tabs>
        <w:ind w:left="4320" w:hanging="360"/>
      </w:pPr>
      <w:rPr>
        <w:rFonts w:ascii="Wingdings" w:hAnsi="Wingdings" w:hint="default"/>
      </w:rPr>
    </w:lvl>
    <w:lvl w:ilvl="6" w:tplc="C6CABC5C" w:tentative="1">
      <w:start w:val="1"/>
      <w:numFmt w:val="bullet"/>
      <w:lvlText w:val=""/>
      <w:lvlJc w:val="left"/>
      <w:pPr>
        <w:tabs>
          <w:tab w:val="num" w:pos="5040"/>
        </w:tabs>
        <w:ind w:left="5040" w:hanging="360"/>
      </w:pPr>
      <w:rPr>
        <w:rFonts w:ascii="Symbol" w:hAnsi="Symbol" w:hint="default"/>
      </w:rPr>
    </w:lvl>
    <w:lvl w:ilvl="7" w:tplc="A558C8E8" w:tentative="1">
      <w:start w:val="1"/>
      <w:numFmt w:val="bullet"/>
      <w:lvlText w:val="o"/>
      <w:lvlJc w:val="left"/>
      <w:pPr>
        <w:tabs>
          <w:tab w:val="num" w:pos="5760"/>
        </w:tabs>
        <w:ind w:left="5760" w:hanging="360"/>
      </w:pPr>
      <w:rPr>
        <w:rFonts w:ascii="Courier New" w:hAnsi="Courier New" w:hint="default"/>
      </w:rPr>
    </w:lvl>
    <w:lvl w:ilvl="8" w:tplc="FB488658" w:tentative="1">
      <w:start w:val="1"/>
      <w:numFmt w:val="bullet"/>
      <w:lvlText w:val=""/>
      <w:lvlJc w:val="left"/>
      <w:pPr>
        <w:tabs>
          <w:tab w:val="num" w:pos="6480"/>
        </w:tabs>
        <w:ind w:left="6480" w:hanging="360"/>
      </w:pPr>
      <w:rPr>
        <w:rFonts w:ascii="Wingdings" w:hAnsi="Wingdings" w:hint="default"/>
      </w:rPr>
    </w:lvl>
  </w:abstractNum>
  <w:abstractNum w:abstractNumId="1">
    <w:nsid w:val="19E3572C"/>
    <w:multiLevelType w:val="multilevel"/>
    <w:tmpl w:val="5492E408"/>
    <w:styleLink w:val="TechnicalReport"/>
    <w:lvl w:ilvl="0">
      <w:start w:val="1"/>
      <w:numFmt w:val="upperRoman"/>
      <w:lvlText w:val="%1"/>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61DF4"/>
    <w:rsid w:val="00013F3B"/>
    <w:rsid w:val="001F58CC"/>
    <w:rsid w:val="00296DC5"/>
    <w:rsid w:val="00461DF4"/>
    <w:rsid w:val="004943C8"/>
    <w:rsid w:val="0053678F"/>
    <w:rsid w:val="005E3F41"/>
    <w:rsid w:val="009B0C4D"/>
    <w:rsid w:val="009D2F4E"/>
    <w:rsid w:val="00A20604"/>
    <w:rsid w:val="00C27AF4"/>
    <w:rsid w:val="00CD4345"/>
    <w:rsid w:val="00CF70C1"/>
    <w:rsid w:val="00D34306"/>
    <w:rsid w:val="00D44A7B"/>
    <w:rsid w:val="00D96C8E"/>
    <w:rsid w:val="00E575A3"/>
    <w:rsid w:val="00EF1530"/>
    <w:rsid w:val="00F93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F4"/>
    <w:pPr>
      <w:spacing w:after="0" w:line="240" w:lineRule="auto"/>
    </w:pPr>
    <w:rPr>
      <w:rFonts w:ascii="Times New Roman" w:eastAsia="Time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Report">
    <w:name w:val="Technical Report"/>
    <w:uiPriority w:val="99"/>
    <w:rsid w:val="00D34306"/>
    <w:pPr>
      <w:numPr>
        <w:numId w:val="1"/>
      </w:numPr>
    </w:pPr>
  </w:style>
  <w:style w:type="paragraph" w:styleId="Header">
    <w:name w:val="header"/>
    <w:basedOn w:val="Normal"/>
    <w:link w:val="HeaderChar"/>
    <w:semiHidden/>
    <w:rsid w:val="00461DF4"/>
    <w:pPr>
      <w:tabs>
        <w:tab w:val="center" w:pos="4320"/>
        <w:tab w:val="right" w:pos="8640"/>
      </w:tabs>
    </w:pPr>
    <w:rPr>
      <w:rFonts w:ascii="Times" w:hAnsi="Times"/>
      <w:szCs w:val="20"/>
    </w:rPr>
  </w:style>
  <w:style w:type="character" w:customStyle="1" w:styleId="HeaderChar">
    <w:name w:val="Header Char"/>
    <w:basedOn w:val="DefaultParagraphFont"/>
    <w:link w:val="Header"/>
    <w:semiHidden/>
    <w:rsid w:val="00461DF4"/>
    <w:rPr>
      <w:rFonts w:ascii="Times" w:eastAsia="Times" w:hAnsi="Times" w:cs="Times New Roman"/>
      <w:sz w:val="24"/>
      <w:szCs w:val="20"/>
    </w:rPr>
  </w:style>
  <w:style w:type="character" w:styleId="Hyperlink">
    <w:name w:val="Hyperlink"/>
    <w:basedOn w:val="DefaultParagraphFont"/>
    <w:semiHidden/>
    <w:rsid w:val="00461DF4"/>
    <w:rPr>
      <w:color w:val="0000FF"/>
      <w:u w:val="single"/>
    </w:rPr>
  </w:style>
  <w:style w:type="paragraph" w:styleId="NoSpacing">
    <w:name w:val="No Spacing"/>
    <w:uiPriority w:val="1"/>
    <w:qFormat/>
    <w:rsid w:val="00461DF4"/>
    <w:pPr>
      <w:spacing w:after="0" w:line="240" w:lineRule="auto"/>
    </w:pPr>
    <w:rPr>
      <w:rFonts w:ascii="Times" w:eastAsia="Times" w:hAnsi="Times" w:cs="Times New Roman"/>
      <w:sz w:val="24"/>
      <w:szCs w:val="20"/>
    </w:rPr>
  </w:style>
  <w:style w:type="paragraph" w:styleId="Footer">
    <w:name w:val="footer"/>
    <w:basedOn w:val="Normal"/>
    <w:link w:val="FooterChar"/>
    <w:uiPriority w:val="99"/>
    <w:semiHidden/>
    <w:unhideWhenUsed/>
    <w:rsid w:val="009D2F4E"/>
    <w:pPr>
      <w:tabs>
        <w:tab w:val="center" w:pos="4680"/>
        <w:tab w:val="right" w:pos="9360"/>
      </w:tabs>
    </w:pPr>
  </w:style>
  <w:style w:type="character" w:customStyle="1" w:styleId="FooterChar">
    <w:name w:val="Footer Char"/>
    <w:basedOn w:val="DefaultParagraphFont"/>
    <w:link w:val="Footer"/>
    <w:uiPriority w:val="99"/>
    <w:semiHidden/>
    <w:rsid w:val="009D2F4E"/>
    <w:rPr>
      <w:rFonts w:ascii="Times New Roman" w:eastAsia="Time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5</cp:revision>
  <cp:lastPrinted>2019-07-17T02:38:00Z</cp:lastPrinted>
  <dcterms:created xsi:type="dcterms:W3CDTF">2019-07-17T02:31:00Z</dcterms:created>
  <dcterms:modified xsi:type="dcterms:W3CDTF">2019-07-17T15:32:00Z</dcterms:modified>
</cp:coreProperties>
</file>