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43" w:rsidRDefault="002F3643" w:rsidP="002F3643">
      <w:pPr>
        <w:rPr>
          <w:sz w:val="20"/>
          <w:szCs w:val="20"/>
        </w:rPr>
      </w:pPr>
      <w:r>
        <w:rPr>
          <w:sz w:val="28"/>
          <w:szCs w:val="28"/>
        </w:rPr>
        <w:t xml:space="preserve">Name: _____________________________________ </w:t>
      </w:r>
      <w:r>
        <w:rPr>
          <w:sz w:val="20"/>
          <w:szCs w:val="20"/>
        </w:rPr>
        <w:t>(Please print neatly)</w:t>
      </w:r>
    </w:p>
    <w:p w:rsidR="002F3643" w:rsidRPr="009C0755" w:rsidRDefault="00E222DF" w:rsidP="002F3643">
      <w:r>
        <w:t>3/25</w:t>
      </w:r>
      <w:r w:rsidR="002F3643">
        <w:t xml:space="preserve">: </w:t>
      </w:r>
      <w:r w:rsidR="002F3643">
        <w:tab/>
      </w:r>
      <w:r w:rsidR="005A1CBC">
        <w:t xml:space="preserve">Lecture: “Spelling-Meaning Connection;” </w:t>
      </w:r>
      <w:r w:rsidR="00D54A6E">
        <w:t>Identifying tone</w:t>
      </w:r>
    </w:p>
    <w:p w:rsidR="00E222DF" w:rsidRDefault="00E222DF" w:rsidP="002F3643">
      <w:r>
        <w:t xml:space="preserve">4/8: </w:t>
      </w:r>
      <w:r w:rsidR="00E10A98">
        <w:tab/>
        <w:t>View “Cast of Amontillado” and complete video questions;</w:t>
      </w:r>
      <w:r w:rsidR="00CE216C">
        <w:t xml:space="preserve"> short story mysteries (as </w:t>
      </w:r>
      <w:r w:rsidR="00CE216C">
        <w:tab/>
        <w:t>time allows)</w:t>
      </w:r>
    </w:p>
    <w:p w:rsidR="002F3643" w:rsidRPr="009C0755" w:rsidRDefault="00E222DF" w:rsidP="002F3643">
      <w:r>
        <w:t>4/15</w:t>
      </w:r>
      <w:r w:rsidR="002F3643" w:rsidRPr="009C0755">
        <w:t xml:space="preserve">: </w:t>
      </w:r>
      <w:r w:rsidR="002F3643">
        <w:tab/>
        <w:t>E</w:t>
      </w:r>
      <w:r w:rsidR="002F3643" w:rsidRPr="009C0755">
        <w:t>nd-of-unit exam</w:t>
      </w:r>
    </w:p>
    <w:p w:rsidR="002F3643" w:rsidRPr="00C5022A" w:rsidRDefault="002F3643" w:rsidP="002F3643">
      <w:pPr>
        <w:rPr>
          <w:sz w:val="16"/>
          <w:szCs w:val="16"/>
        </w:rPr>
      </w:pPr>
    </w:p>
    <w:p w:rsidR="002F3643" w:rsidRPr="007F6777" w:rsidRDefault="002F3643" w:rsidP="002F3643">
      <w:r>
        <w:t>While worksheet tasks may be handwritten, all reading responses are to be typed.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868"/>
        <w:gridCol w:w="6750"/>
      </w:tblGrid>
      <w:tr w:rsidR="002F3643" w:rsidTr="00E222DF">
        <w:tc>
          <w:tcPr>
            <w:tcW w:w="670" w:type="dxa"/>
          </w:tcPr>
          <w:p w:rsidR="002F3643" w:rsidRPr="00780E5D" w:rsidRDefault="002F3643" w:rsidP="00E222DF">
            <w:pPr>
              <w:rPr>
                <w:sz w:val="16"/>
                <w:szCs w:val="16"/>
              </w:rPr>
            </w:pPr>
            <w:r w:rsidRPr="00780E5D">
              <w:rPr>
                <w:sz w:val="16"/>
                <w:szCs w:val="16"/>
              </w:rPr>
              <w:t>Points Earned</w:t>
            </w:r>
          </w:p>
        </w:tc>
        <w:tc>
          <w:tcPr>
            <w:tcW w:w="1868" w:type="dxa"/>
          </w:tcPr>
          <w:p w:rsidR="002F3643" w:rsidRPr="00780E5D" w:rsidRDefault="002F3643" w:rsidP="00E222DF">
            <w:r w:rsidRPr="00780E5D">
              <w:rPr>
                <w:sz w:val="22"/>
                <w:szCs w:val="22"/>
              </w:rPr>
              <w:t>Text and Pages</w:t>
            </w:r>
          </w:p>
        </w:tc>
        <w:tc>
          <w:tcPr>
            <w:tcW w:w="6750" w:type="dxa"/>
          </w:tcPr>
          <w:p w:rsidR="002F3643" w:rsidRPr="00780E5D" w:rsidRDefault="002F3643" w:rsidP="00E222DF">
            <w:pPr>
              <w:ind w:right="-108"/>
            </w:pPr>
            <w:r w:rsidRPr="00F62398">
              <w:rPr>
                <w:b/>
                <w:sz w:val="22"/>
                <w:szCs w:val="22"/>
              </w:rPr>
              <w:t>Assignment</w:t>
            </w:r>
            <w:r w:rsidR="00E222DF">
              <w:rPr>
                <w:b/>
                <w:sz w:val="22"/>
                <w:szCs w:val="22"/>
              </w:rPr>
              <w:t>: Analyzing narrative</w:t>
            </w:r>
          </w:p>
        </w:tc>
      </w:tr>
      <w:tr w:rsidR="002F3643" w:rsidTr="00E222DF">
        <w:tc>
          <w:tcPr>
            <w:tcW w:w="670" w:type="dxa"/>
          </w:tcPr>
          <w:p w:rsidR="002F3643" w:rsidRPr="00780E5D" w:rsidRDefault="002F3643" w:rsidP="00E222DF">
            <w:pPr>
              <w:rPr>
                <w:sz w:val="16"/>
                <w:szCs w:val="16"/>
              </w:rPr>
            </w:pPr>
          </w:p>
        </w:tc>
        <w:tc>
          <w:tcPr>
            <w:tcW w:w="1868" w:type="dxa"/>
          </w:tcPr>
          <w:p w:rsidR="002F3643" w:rsidRDefault="002F3643" w:rsidP="00E222DF">
            <w:r>
              <w:rPr>
                <w:sz w:val="22"/>
                <w:szCs w:val="22"/>
              </w:rPr>
              <w:t>Lecture</w:t>
            </w:r>
          </w:p>
          <w:p w:rsidR="002F3643" w:rsidRPr="00780E5D" w:rsidRDefault="00781F56" w:rsidP="00E222DF">
            <w:r>
              <w:rPr>
                <w:b/>
                <w:sz w:val="22"/>
                <w:szCs w:val="22"/>
              </w:rPr>
              <w:t>15</w:t>
            </w:r>
            <w:r w:rsidR="002F3643">
              <w:rPr>
                <w:sz w:val="22"/>
                <w:szCs w:val="22"/>
              </w:rPr>
              <w:t xml:space="preserve"> points</w:t>
            </w:r>
          </w:p>
        </w:tc>
        <w:tc>
          <w:tcPr>
            <w:tcW w:w="6750" w:type="dxa"/>
          </w:tcPr>
          <w:p w:rsidR="002F3643" w:rsidRPr="00A3097E" w:rsidRDefault="002F3643" w:rsidP="00E222DF">
            <w:pPr>
              <w:ind w:right="-108"/>
            </w:pPr>
            <w:r>
              <w:rPr>
                <w:sz w:val="22"/>
                <w:szCs w:val="22"/>
              </w:rPr>
              <w:t xml:space="preserve">Listen and take notes on the </w:t>
            </w:r>
            <w:r w:rsidR="005A1CBC">
              <w:rPr>
                <w:sz w:val="22"/>
                <w:szCs w:val="22"/>
              </w:rPr>
              <w:t>“Spelling-Meaning Connection”</w:t>
            </w:r>
          </w:p>
        </w:tc>
      </w:tr>
      <w:tr w:rsidR="002F3643" w:rsidTr="00E222DF">
        <w:tc>
          <w:tcPr>
            <w:tcW w:w="670" w:type="dxa"/>
          </w:tcPr>
          <w:p w:rsidR="002F3643" w:rsidRPr="00780E5D" w:rsidRDefault="002F3643" w:rsidP="00E222DF">
            <w:pPr>
              <w:rPr>
                <w:sz w:val="16"/>
                <w:szCs w:val="16"/>
              </w:rPr>
            </w:pPr>
          </w:p>
        </w:tc>
        <w:tc>
          <w:tcPr>
            <w:tcW w:w="1868" w:type="dxa"/>
          </w:tcPr>
          <w:p w:rsidR="002F3643" w:rsidRDefault="00011108" w:rsidP="00E222DF">
            <w:r>
              <w:rPr>
                <w:sz w:val="22"/>
                <w:szCs w:val="22"/>
              </w:rPr>
              <w:t>SAE Skills</w:t>
            </w:r>
          </w:p>
          <w:p w:rsidR="002F3643" w:rsidRPr="00780E5D" w:rsidRDefault="00E10A98" w:rsidP="00E222DF">
            <w:r>
              <w:rPr>
                <w:b/>
                <w:sz w:val="22"/>
                <w:szCs w:val="22"/>
              </w:rPr>
              <w:t>1</w:t>
            </w:r>
            <w:r w:rsidR="002F3643" w:rsidRPr="00E75854">
              <w:rPr>
                <w:b/>
                <w:sz w:val="22"/>
                <w:szCs w:val="22"/>
              </w:rPr>
              <w:t>0</w:t>
            </w:r>
            <w:r w:rsidR="002F3643">
              <w:rPr>
                <w:sz w:val="22"/>
                <w:szCs w:val="22"/>
              </w:rPr>
              <w:t xml:space="preserve"> points</w:t>
            </w:r>
          </w:p>
        </w:tc>
        <w:tc>
          <w:tcPr>
            <w:tcW w:w="6750" w:type="dxa"/>
          </w:tcPr>
          <w:p w:rsidR="002F3643" w:rsidRPr="00BE102F" w:rsidRDefault="00E10A98" w:rsidP="00E222DF">
            <w:r>
              <w:t>Complete the two punctuation worksheets – Direct Speech and using the comma.</w:t>
            </w:r>
          </w:p>
        </w:tc>
      </w:tr>
      <w:tr w:rsidR="002F3643" w:rsidTr="00E222DF">
        <w:tc>
          <w:tcPr>
            <w:tcW w:w="670" w:type="dxa"/>
          </w:tcPr>
          <w:p w:rsidR="002F3643" w:rsidRDefault="002F3643" w:rsidP="00E222DF"/>
        </w:tc>
        <w:tc>
          <w:tcPr>
            <w:tcW w:w="1868" w:type="dxa"/>
          </w:tcPr>
          <w:p w:rsidR="002F3643" w:rsidRDefault="00011108" w:rsidP="00E222DF">
            <w:r>
              <w:t>Vocabulary</w:t>
            </w:r>
          </w:p>
          <w:p w:rsidR="002F3643" w:rsidRDefault="002F3643" w:rsidP="00E222DF"/>
          <w:p w:rsidR="00957D2F" w:rsidRDefault="00957D2F" w:rsidP="00E222DF"/>
          <w:p w:rsidR="00957D2F" w:rsidRDefault="00957D2F" w:rsidP="00E222DF"/>
          <w:p w:rsidR="002F3643" w:rsidRPr="00A2425E" w:rsidRDefault="002F3643" w:rsidP="00E222DF">
            <w:r w:rsidRPr="00E75854">
              <w:rPr>
                <w:b/>
              </w:rPr>
              <w:t>40</w:t>
            </w:r>
            <w:r>
              <w:t xml:space="preserve"> points</w:t>
            </w:r>
          </w:p>
        </w:tc>
        <w:tc>
          <w:tcPr>
            <w:tcW w:w="6750" w:type="dxa"/>
          </w:tcPr>
          <w:p w:rsidR="002F3643" w:rsidRPr="0085214C" w:rsidRDefault="00957D2F" w:rsidP="00E222DF">
            <w:r>
              <w:t>Study the vocabulary list for this month. Complete the matching practice and word study worksheets (attached). This month, in analyzing narrative, we will zoom in on connotation as part of tone. Complete the “Practice with Denotation &amp; Connotation” and “Practice Identifying Tone” worksheets (attached).</w:t>
            </w:r>
          </w:p>
        </w:tc>
      </w:tr>
      <w:tr w:rsidR="002F3643" w:rsidTr="00E222DF">
        <w:tc>
          <w:tcPr>
            <w:tcW w:w="670" w:type="dxa"/>
          </w:tcPr>
          <w:p w:rsidR="002F3643" w:rsidRDefault="002F3643" w:rsidP="00E222DF"/>
        </w:tc>
        <w:tc>
          <w:tcPr>
            <w:tcW w:w="1868" w:type="dxa"/>
          </w:tcPr>
          <w:p w:rsidR="002F3643" w:rsidRDefault="00E222DF" w:rsidP="00E222DF">
            <w:r>
              <w:t>Anthology</w:t>
            </w:r>
          </w:p>
          <w:p w:rsidR="002F3643" w:rsidRDefault="00E222DF" w:rsidP="00E222DF">
            <w:r>
              <w:t>Pgs 342-</w:t>
            </w:r>
            <w:r w:rsidR="00D81E6F">
              <w:t xml:space="preserve"> </w:t>
            </w:r>
            <w:r w:rsidR="00CE216C">
              <w:t>353</w:t>
            </w:r>
          </w:p>
          <w:p w:rsidR="002F3643" w:rsidRDefault="00DF4707" w:rsidP="00E222DF">
            <w:r>
              <w:rPr>
                <w:b/>
              </w:rPr>
              <w:t>25</w:t>
            </w:r>
            <w:r w:rsidR="002F3643">
              <w:t xml:space="preserve"> points</w:t>
            </w:r>
          </w:p>
        </w:tc>
        <w:tc>
          <w:tcPr>
            <w:tcW w:w="6750" w:type="dxa"/>
          </w:tcPr>
          <w:p w:rsidR="00E10A98" w:rsidRDefault="00E10A98" w:rsidP="00E222DF">
            <w:r>
              <w:t>Read “The Case of Amontillado” by Edgar Allen Poe</w:t>
            </w:r>
            <w:r w:rsidR="00CE216C">
              <w:t xml:space="preserve"> and the “Story Behind the Cask”</w:t>
            </w:r>
            <w:r>
              <w:t xml:space="preserve">. Then, type your responses to questions: </w:t>
            </w:r>
            <w:r w:rsidR="00DF4707">
              <w:t>5, 6, 8, 9, and 10 on page 353.</w:t>
            </w:r>
          </w:p>
        </w:tc>
      </w:tr>
      <w:tr w:rsidR="002F3643" w:rsidTr="00E222DF">
        <w:tc>
          <w:tcPr>
            <w:tcW w:w="670" w:type="dxa"/>
          </w:tcPr>
          <w:p w:rsidR="002F3643" w:rsidRDefault="002F3643" w:rsidP="00E222DF"/>
        </w:tc>
        <w:tc>
          <w:tcPr>
            <w:tcW w:w="1868" w:type="dxa"/>
          </w:tcPr>
          <w:p w:rsidR="002F3643" w:rsidRDefault="002F3643" w:rsidP="00E222DF">
            <w:r>
              <w:t>Reading Questions</w:t>
            </w:r>
          </w:p>
          <w:p w:rsidR="002F3643" w:rsidRDefault="002F3643" w:rsidP="00E222DF">
            <w:r w:rsidRPr="00E75854">
              <w:rPr>
                <w:b/>
              </w:rPr>
              <w:t>20</w:t>
            </w:r>
            <w:r>
              <w:t xml:space="preserve"> points</w:t>
            </w:r>
          </w:p>
        </w:tc>
        <w:tc>
          <w:tcPr>
            <w:tcW w:w="6750" w:type="dxa"/>
          </w:tcPr>
          <w:p w:rsidR="002F3643" w:rsidRDefault="00CE216C" w:rsidP="00E222DF">
            <w:r>
              <w:t>Read the four short mysteries and complete the matrix to show how you can use clues within the texts to solve the mysteries.</w:t>
            </w:r>
          </w:p>
        </w:tc>
      </w:tr>
      <w:tr w:rsidR="002F3643" w:rsidTr="00E222DF">
        <w:tc>
          <w:tcPr>
            <w:tcW w:w="670" w:type="dxa"/>
          </w:tcPr>
          <w:p w:rsidR="002F3643" w:rsidRDefault="002F3643" w:rsidP="00E222DF"/>
        </w:tc>
        <w:tc>
          <w:tcPr>
            <w:tcW w:w="1868" w:type="dxa"/>
          </w:tcPr>
          <w:p w:rsidR="002F3643" w:rsidRDefault="002F3643" w:rsidP="00E222DF">
            <w:r>
              <w:t xml:space="preserve"> Project</w:t>
            </w:r>
          </w:p>
          <w:p w:rsidR="00DF4707" w:rsidRDefault="00DF4707" w:rsidP="00E222DF">
            <w:r>
              <w:t>Anthology</w:t>
            </w:r>
          </w:p>
          <w:p w:rsidR="002F3643" w:rsidRDefault="00DF4707" w:rsidP="00E222DF">
            <w:r>
              <w:t>Pgs 356-358</w:t>
            </w:r>
          </w:p>
          <w:p w:rsidR="002F3643" w:rsidRPr="00A2425E" w:rsidRDefault="00DF4707" w:rsidP="00E222DF">
            <w:r>
              <w:rPr>
                <w:b/>
              </w:rPr>
              <w:t>1</w:t>
            </w:r>
            <w:r w:rsidR="002F3643">
              <w:rPr>
                <w:b/>
              </w:rPr>
              <w:t>5</w:t>
            </w:r>
            <w:r w:rsidR="002F3643" w:rsidRPr="00A2425E">
              <w:t xml:space="preserve"> points</w:t>
            </w:r>
          </w:p>
        </w:tc>
        <w:tc>
          <w:tcPr>
            <w:tcW w:w="6750" w:type="dxa"/>
          </w:tcPr>
          <w:p w:rsidR="002F3643" w:rsidRPr="0085214C" w:rsidRDefault="00DF4707" w:rsidP="00E222DF">
            <w:r>
              <w:t>Read the text “What makes a setting sinister?” and view the video of Poe’s short story (we’ll do this in class on 4/8). Then, type your answers to questions: 3, 4, and 5 on page 358.</w:t>
            </w:r>
          </w:p>
        </w:tc>
      </w:tr>
    </w:tbl>
    <w:p w:rsidR="002F3643" w:rsidRPr="00736FD4" w:rsidRDefault="002F3643" w:rsidP="002F3643">
      <w:pPr>
        <w:ind w:right="-360"/>
      </w:pPr>
    </w:p>
    <w:p w:rsidR="002F3643" w:rsidRPr="009A1CED" w:rsidRDefault="002F3643" w:rsidP="002F3643">
      <w:pPr>
        <w:ind w:left="-360" w:righ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______/Points earned out </w:t>
      </w:r>
      <w:proofErr w:type="gramStart"/>
      <w:r>
        <w:rPr>
          <w:sz w:val="22"/>
          <w:szCs w:val="22"/>
        </w:rPr>
        <w:t>of</w:t>
      </w:r>
      <w:r w:rsidRPr="00125366">
        <w:rPr>
          <w:b/>
          <w:sz w:val="22"/>
          <w:szCs w:val="22"/>
        </w:rPr>
        <w:t xml:space="preserve"> </w:t>
      </w:r>
      <w:r>
        <w:rPr>
          <w:sz w:val="22"/>
          <w:szCs w:val="22"/>
        </w:rPr>
        <w:t xml:space="preserve"> </w:t>
      </w:r>
      <w:r w:rsidR="00DF4707">
        <w:rPr>
          <w:b/>
          <w:sz w:val="22"/>
          <w:szCs w:val="22"/>
          <w:u w:val="single"/>
        </w:rPr>
        <w:t>12</w:t>
      </w:r>
      <w:r w:rsidRPr="00125366">
        <w:rPr>
          <w:b/>
          <w:sz w:val="22"/>
          <w:szCs w:val="22"/>
          <w:u w:val="single"/>
        </w:rPr>
        <w:t>5</w:t>
      </w:r>
      <w:proofErr w:type="gramEnd"/>
      <w:r>
        <w:rPr>
          <w:sz w:val="22"/>
          <w:szCs w:val="22"/>
        </w:rPr>
        <w:t xml:space="preserve"> </w:t>
      </w:r>
      <w:r w:rsidRPr="00125366">
        <w:rPr>
          <w:sz w:val="22"/>
          <w:szCs w:val="22"/>
        </w:rPr>
        <w:t>points</w:t>
      </w:r>
      <w:r>
        <w:rPr>
          <w:sz w:val="22"/>
          <w:szCs w:val="22"/>
        </w:rPr>
        <w:t xml:space="preserve"> possible</w:t>
      </w:r>
    </w:p>
    <w:p w:rsidR="002F3643" w:rsidRDefault="002F3643" w:rsidP="002F3643"/>
    <w:p w:rsidR="00013F3B" w:rsidRDefault="00013F3B"/>
    <w:sectPr w:rsidR="00013F3B" w:rsidSect="00E222DF">
      <w:headerReference w:type="default" r:id="rId7"/>
      <w:footerReference w:type="default" r:id="rId8"/>
      <w:pgSz w:w="12240" w:h="15840"/>
      <w:pgMar w:top="1440" w:right="144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16C" w:rsidRDefault="00CE216C" w:rsidP="00E222DF">
      <w:r>
        <w:separator/>
      </w:r>
    </w:p>
  </w:endnote>
  <w:endnote w:type="continuationSeparator" w:id="0">
    <w:p w:rsidR="00CE216C" w:rsidRDefault="00CE216C" w:rsidP="00E22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6C" w:rsidRDefault="00CE216C">
    <w:pPr>
      <w:pStyle w:val="Footer"/>
    </w:pPr>
  </w:p>
  <w:p w:rsidR="00CE216C" w:rsidRDefault="00CE216C" w:rsidP="00E222D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16C" w:rsidRDefault="00CE216C" w:rsidP="00E222DF">
      <w:r>
        <w:separator/>
      </w:r>
    </w:p>
  </w:footnote>
  <w:footnote w:type="continuationSeparator" w:id="0">
    <w:p w:rsidR="00CE216C" w:rsidRDefault="00CE216C" w:rsidP="00E22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6C" w:rsidRDefault="00DF4707" w:rsidP="00E222DF">
    <w:pPr>
      <w:pStyle w:val="Header"/>
      <w:pBdr>
        <w:bottom w:val="thickThinSmallGap" w:sz="24" w:space="1" w:color="622423"/>
      </w:pBdr>
      <w:jc w:val="center"/>
      <w:rPr>
        <w:rFonts w:ascii="Cambria" w:hAnsi="Cambria"/>
        <w:sz w:val="32"/>
        <w:szCs w:val="32"/>
      </w:rPr>
    </w:pPr>
    <w:r>
      <w:rPr>
        <w:b/>
      </w:rPr>
      <w:t xml:space="preserve">English </w:t>
    </w:r>
    <w:r w:rsidR="00CE216C">
      <w:rPr>
        <w:b/>
      </w:rPr>
      <w:t>2C</w:t>
    </w:r>
    <w:r w:rsidR="00CE216C">
      <w:rPr>
        <w:b/>
      </w:rPr>
      <w:tab/>
      <w:t xml:space="preserve">                                              </w:t>
    </w:r>
    <w:r>
      <w:rPr>
        <w:b/>
      </w:rPr>
      <w:t xml:space="preserve">        </w:t>
    </w:r>
    <w:r w:rsidR="00CE216C">
      <w:rPr>
        <w:b/>
      </w:rPr>
      <w:t xml:space="preserve">                                     Month 8 Assignments </w:t>
    </w:r>
  </w:p>
  <w:p w:rsidR="00CE216C" w:rsidRDefault="00CE2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72C"/>
    <w:multiLevelType w:val="multilevel"/>
    <w:tmpl w:val="5492E408"/>
    <w:styleLink w:val="TechnicalReport"/>
    <w:lvl w:ilvl="0">
      <w:start w:val="1"/>
      <w:numFmt w:val="upperRoman"/>
      <w:lvlText w:val="%1"/>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3643"/>
    <w:rsid w:val="00011108"/>
    <w:rsid w:val="00013F3B"/>
    <w:rsid w:val="002F3643"/>
    <w:rsid w:val="005A1CBC"/>
    <w:rsid w:val="00781F56"/>
    <w:rsid w:val="00957D2F"/>
    <w:rsid w:val="00CE216C"/>
    <w:rsid w:val="00D34306"/>
    <w:rsid w:val="00D54A6E"/>
    <w:rsid w:val="00D81E6F"/>
    <w:rsid w:val="00DF4707"/>
    <w:rsid w:val="00E10A98"/>
    <w:rsid w:val="00E222DF"/>
    <w:rsid w:val="00E80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Report">
    <w:name w:val="Technical Report"/>
    <w:uiPriority w:val="99"/>
    <w:rsid w:val="00D34306"/>
    <w:pPr>
      <w:numPr>
        <w:numId w:val="1"/>
      </w:numPr>
    </w:pPr>
  </w:style>
  <w:style w:type="paragraph" w:styleId="Footer">
    <w:name w:val="footer"/>
    <w:basedOn w:val="Normal"/>
    <w:link w:val="FooterChar"/>
    <w:uiPriority w:val="99"/>
    <w:rsid w:val="002F3643"/>
    <w:pPr>
      <w:tabs>
        <w:tab w:val="center" w:pos="4320"/>
        <w:tab w:val="right" w:pos="8640"/>
      </w:tabs>
    </w:pPr>
  </w:style>
  <w:style w:type="character" w:customStyle="1" w:styleId="FooterChar">
    <w:name w:val="Footer Char"/>
    <w:basedOn w:val="DefaultParagraphFont"/>
    <w:link w:val="Footer"/>
    <w:uiPriority w:val="99"/>
    <w:rsid w:val="002F36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3643"/>
    <w:pPr>
      <w:tabs>
        <w:tab w:val="center" w:pos="4680"/>
        <w:tab w:val="right" w:pos="9360"/>
      </w:tabs>
    </w:pPr>
  </w:style>
  <w:style w:type="character" w:customStyle="1" w:styleId="HeaderChar">
    <w:name w:val="Header Char"/>
    <w:basedOn w:val="DefaultParagraphFont"/>
    <w:link w:val="Header"/>
    <w:uiPriority w:val="99"/>
    <w:rsid w:val="002F36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cp:lastPrinted>2019-07-24T02:59:00Z</cp:lastPrinted>
  <dcterms:created xsi:type="dcterms:W3CDTF">2019-07-24T03:00:00Z</dcterms:created>
  <dcterms:modified xsi:type="dcterms:W3CDTF">2019-07-24T03:00:00Z</dcterms:modified>
</cp:coreProperties>
</file>